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93" w:rsidRDefault="00681E93" w:rsidP="005F3A19">
      <w:pPr>
        <w:jc w:val="center"/>
        <w:rPr>
          <w:b/>
          <w:bCs/>
          <w:sz w:val="22"/>
          <w:szCs w:val="22"/>
        </w:rPr>
        <w:sectPr w:rsidR="00681E93" w:rsidSect="00871D97">
          <w:headerReference w:type="default" r:id="rId9"/>
          <w:footerReference w:type="default" r:id="rId10"/>
          <w:pgSz w:w="11906" w:h="16838"/>
          <w:pgMar w:top="567" w:right="424" w:bottom="567" w:left="340" w:header="709" w:footer="709" w:gutter="0"/>
          <w:cols w:space="708"/>
          <w:docGrid w:linePitch="360"/>
        </w:sectPr>
      </w:pPr>
      <w:bookmarkStart w:id="0" w:name="_GoBack"/>
      <w:bookmarkEnd w:id="0"/>
    </w:p>
    <w:p w:rsidR="004012FE" w:rsidRPr="00DB4613" w:rsidRDefault="004012FE" w:rsidP="005F3A19">
      <w:pPr>
        <w:jc w:val="center"/>
        <w:rPr>
          <w:b/>
          <w:bCs/>
          <w:sz w:val="22"/>
          <w:szCs w:val="22"/>
        </w:rPr>
      </w:pPr>
      <w:r w:rsidRPr="00DB4613">
        <w:rPr>
          <w:b/>
          <w:bCs/>
          <w:sz w:val="22"/>
          <w:szCs w:val="22"/>
        </w:rPr>
        <w:lastRenderedPageBreak/>
        <w:t xml:space="preserve">CHECK-LIST - </w:t>
      </w:r>
      <w:r w:rsidR="001F7551" w:rsidRPr="00DB4613">
        <w:rPr>
          <w:b/>
          <w:bCs/>
          <w:sz w:val="22"/>
          <w:szCs w:val="22"/>
        </w:rPr>
        <w:t>INEXIGIBILIDADE</w:t>
      </w:r>
    </w:p>
    <w:p w:rsidR="004012FE" w:rsidRDefault="004012FE" w:rsidP="002C2AEA">
      <w:pPr>
        <w:jc w:val="center"/>
        <w:rPr>
          <w:rFonts w:eastAsia="MyriadPro-Regular"/>
          <w:color w:val="000000"/>
          <w:sz w:val="22"/>
          <w:szCs w:val="22"/>
        </w:rPr>
      </w:pPr>
      <w:r w:rsidRPr="00DB4613">
        <w:rPr>
          <w:sz w:val="22"/>
          <w:szCs w:val="22"/>
        </w:rPr>
        <w:t>C</w:t>
      </w:r>
      <w:r w:rsidRPr="00DB4613">
        <w:rPr>
          <w:rFonts w:eastAsia="MyriadPro-Regular"/>
          <w:color w:val="000000"/>
          <w:sz w:val="22"/>
          <w:szCs w:val="22"/>
        </w:rPr>
        <w:t xml:space="preserve">ontratação direta, mediante </w:t>
      </w:r>
      <w:r w:rsidR="0089269D" w:rsidRPr="00DB4613">
        <w:rPr>
          <w:rFonts w:eastAsia="MyriadPro-Regular"/>
          <w:color w:val="000000"/>
          <w:sz w:val="22"/>
          <w:szCs w:val="22"/>
        </w:rPr>
        <w:t>inexigibilidade, com fundamento nos incisos I a</w:t>
      </w:r>
      <w:r w:rsidRPr="00DB4613">
        <w:rPr>
          <w:rFonts w:eastAsia="MyriadPro-Regular"/>
          <w:color w:val="000000"/>
          <w:sz w:val="22"/>
          <w:szCs w:val="22"/>
        </w:rPr>
        <w:t xml:space="preserve"> II</w:t>
      </w:r>
      <w:r w:rsidR="0089269D" w:rsidRPr="00DB4613">
        <w:rPr>
          <w:rFonts w:eastAsia="MyriadPro-Regular"/>
          <w:color w:val="000000"/>
          <w:sz w:val="22"/>
          <w:szCs w:val="22"/>
        </w:rPr>
        <w:t>I do art. 25</w:t>
      </w:r>
      <w:r w:rsidRPr="00DB4613">
        <w:rPr>
          <w:rFonts w:eastAsia="MyriadPro-Regular"/>
          <w:color w:val="000000"/>
          <w:sz w:val="22"/>
          <w:szCs w:val="22"/>
        </w:rPr>
        <w:t xml:space="preserve"> da Lei nº 8.666/1993</w:t>
      </w:r>
      <w:r w:rsidR="00C777E4">
        <w:rPr>
          <w:rFonts w:eastAsia="MyriadPro-Regular"/>
          <w:color w:val="000000"/>
          <w:sz w:val="22"/>
          <w:szCs w:val="22"/>
        </w:rPr>
        <w:t xml:space="preserve"> e </w:t>
      </w:r>
      <w:r w:rsidR="00C777E4" w:rsidRPr="00C777E4">
        <w:rPr>
          <w:rFonts w:eastAsia="MyriadPro-Regular"/>
          <w:i/>
          <w:color w:val="000000"/>
          <w:sz w:val="22"/>
          <w:szCs w:val="22"/>
        </w:rPr>
        <w:t>caput</w:t>
      </w:r>
    </w:p>
    <w:p w:rsidR="00871D97" w:rsidRDefault="00871D97" w:rsidP="00871D97">
      <w:pPr>
        <w:rPr>
          <w:rFonts w:eastAsia="MyriadPro-Regular"/>
          <w:color w:val="000000"/>
          <w:sz w:val="22"/>
          <w:szCs w:val="22"/>
        </w:rPr>
      </w:pPr>
    </w:p>
    <w:p w:rsidR="00871D97" w:rsidRPr="00DB4613" w:rsidRDefault="00871D97" w:rsidP="00871D97">
      <w:pPr>
        <w:rPr>
          <w:rFonts w:eastAsia="MyriadPro-Regular"/>
          <w:color w:val="000000"/>
          <w:sz w:val="22"/>
          <w:szCs w:val="22"/>
        </w:rPr>
      </w:pPr>
      <w:r>
        <w:rPr>
          <w:rFonts w:eastAsia="MyriadPro-Regular"/>
          <w:color w:val="000000"/>
          <w:sz w:val="22"/>
          <w:szCs w:val="22"/>
        </w:rPr>
        <w:t xml:space="preserve">Obs: Serviços que não se enquadrem nos Incisos II e III </w:t>
      </w:r>
      <w:r w:rsidR="00026502">
        <w:rPr>
          <w:rFonts w:eastAsia="MyriadPro-Regular"/>
          <w:color w:val="000000"/>
          <w:sz w:val="22"/>
          <w:szCs w:val="22"/>
        </w:rPr>
        <w:t xml:space="preserve">do Art. 25 </w:t>
      </w:r>
      <w:r>
        <w:rPr>
          <w:rFonts w:eastAsia="MyriadPro-Regular"/>
          <w:color w:val="000000"/>
          <w:sz w:val="22"/>
          <w:szCs w:val="22"/>
        </w:rPr>
        <w:t xml:space="preserve">são enquadrados no </w:t>
      </w:r>
      <w:r w:rsidR="00026502">
        <w:rPr>
          <w:rFonts w:eastAsia="MyriadPro-Regular"/>
          <w:color w:val="000000"/>
          <w:sz w:val="22"/>
          <w:szCs w:val="22"/>
        </w:rPr>
        <w:t xml:space="preserve">Art. 25 </w:t>
      </w:r>
      <w:r w:rsidRPr="00C777E4">
        <w:rPr>
          <w:rFonts w:eastAsia="MyriadPro-Regular"/>
          <w:i/>
          <w:color w:val="000000"/>
          <w:sz w:val="22"/>
          <w:szCs w:val="22"/>
        </w:rPr>
        <w:t>caput</w:t>
      </w:r>
      <w:r>
        <w:rPr>
          <w:rFonts w:eastAsia="MyriadPro-Regular"/>
          <w:color w:val="000000"/>
          <w:sz w:val="22"/>
          <w:szCs w:val="22"/>
        </w:rPr>
        <w:t>.</w:t>
      </w:r>
      <w:r w:rsidR="00026502">
        <w:rPr>
          <w:rFonts w:eastAsia="MyriadPro-Regular"/>
          <w:color w:val="000000"/>
          <w:sz w:val="22"/>
          <w:szCs w:val="22"/>
        </w:rPr>
        <w:t xml:space="preserve"> O Inciso I refere-se apenas a </w:t>
      </w:r>
      <w:r w:rsidR="00026502" w:rsidRPr="00026502">
        <w:rPr>
          <w:rFonts w:eastAsia="MyriadPro-Regular"/>
          <w:color w:val="000000"/>
          <w:sz w:val="22"/>
          <w:szCs w:val="22"/>
        </w:rPr>
        <w:t>para aquisição de materiais</w:t>
      </w:r>
      <w:r w:rsidR="00026502">
        <w:rPr>
          <w:rFonts w:eastAsia="MyriadPro-Regular"/>
          <w:color w:val="000000"/>
          <w:sz w:val="22"/>
          <w:szCs w:val="22"/>
        </w:rPr>
        <w:t xml:space="preserve"> e</w:t>
      </w:r>
      <w:r w:rsidR="00026502" w:rsidRPr="00026502">
        <w:rPr>
          <w:rFonts w:eastAsia="MyriadPro-Regular"/>
          <w:color w:val="000000"/>
          <w:sz w:val="22"/>
          <w:szCs w:val="22"/>
        </w:rPr>
        <w:t xml:space="preserve"> equipamentos</w:t>
      </w:r>
    </w:p>
    <w:p w:rsidR="002C2AEA" w:rsidRPr="00DB4613" w:rsidRDefault="002C2AEA" w:rsidP="002C2AEA">
      <w:pPr>
        <w:jc w:val="center"/>
        <w:rPr>
          <w:sz w:val="22"/>
          <w:szCs w:val="22"/>
          <w:u w:val="single"/>
        </w:rPr>
      </w:pPr>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7426"/>
        <w:gridCol w:w="1870"/>
        <w:gridCol w:w="455"/>
        <w:gridCol w:w="627"/>
      </w:tblGrid>
      <w:tr w:rsidR="000C5A33" w:rsidRPr="00DB4613" w:rsidTr="00893C2F">
        <w:tc>
          <w:tcPr>
            <w:tcW w:w="233" w:type="pct"/>
            <w:shd w:val="clear" w:color="auto" w:fill="D9D9D9"/>
            <w:vAlign w:val="center"/>
          </w:tcPr>
          <w:p w:rsidR="000C5A33" w:rsidRPr="000C5A33" w:rsidRDefault="000C5A33" w:rsidP="00B611BD">
            <w:pPr>
              <w:rPr>
                <w:b/>
                <w:sz w:val="20"/>
                <w:szCs w:val="20"/>
              </w:rPr>
            </w:pPr>
          </w:p>
        </w:tc>
        <w:tc>
          <w:tcPr>
            <w:tcW w:w="3411" w:type="pct"/>
            <w:shd w:val="clear" w:color="auto" w:fill="D9D9D9"/>
            <w:vAlign w:val="center"/>
          </w:tcPr>
          <w:p w:rsidR="000C5A33" w:rsidRPr="00DB4613" w:rsidRDefault="000C5A33" w:rsidP="001C73F9">
            <w:pPr>
              <w:jc w:val="center"/>
              <w:rPr>
                <w:b/>
                <w:sz w:val="22"/>
                <w:szCs w:val="22"/>
              </w:rPr>
            </w:pPr>
            <w:r w:rsidRPr="00DB4613">
              <w:rPr>
                <w:b/>
                <w:sz w:val="22"/>
                <w:szCs w:val="22"/>
              </w:rPr>
              <w:t>DOCUMENTOS NECESSÁRIOS</w:t>
            </w:r>
          </w:p>
        </w:tc>
        <w:tc>
          <w:tcPr>
            <w:tcW w:w="859" w:type="pct"/>
            <w:shd w:val="clear" w:color="auto" w:fill="D9D9D9"/>
            <w:vAlign w:val="center"/>
          </w:tcPr>
          <w:p w:rsidR="000C5A33" w:rsidRPr="00DB4613" w:rsidRDefault="000C5A33" w:rsidP="00B611BD">
            <w:pPr>
              <w:rPr>
                <w:b/>
                <w:sz w:val="22"/>
                <w:szCs w:val="22"/>
              </w:rPr>
            </w:pPr>
            <w:r w:rsidRPr="00DB4613">
              <w:rPr>
                <w:b/>
                <w:sz w:val="22"/>
                <w:szCs w:val="22"/>
              </w:rPr>
              <w:t>BASE LEGAL</w:t>
            </w:r>
          </w:p>
        </w:tc>
        <w:tc>
          <w:tcPr>
            <w:tcW w:w="209" w:type="pct"/>
            <w:shd w:val="clear" w:color="auto" w:fill="D9D9D9"/>
            <w:vAlign w:val="center"/>
          </w:tcPr>
          <w:p w:rsidR="000C5A33" w:rsidRPr="00DB4613" w:rsidRDefault="000C5A33" w:rsidP="00B611BD">
            <w:pPr>
              <w:rPr>
                <w:b/>
                <w:sz w:val="22"/>
                <w:szCs w:val="22"/>
              </w:rPr>
            </w:pPr>
            <w:r>
              <w:rPr>
                <w:b/>
                <w:sz w:val="22"/>
                <w:szCs w:val="22"/>
              </w:rPr>
              <w:t>Fl</w:t>
            </w:r>
          </w:p>
        </w:tc>
        <w:tc>
          <w:tcPr>
            <w:tcW w:w="288" w:type="pct"/>
            <w:shd w:val="clear" w:color="auto" w:fill="D9D9D9"/>
            <w:vAlign w:val="center"/>
          </w:tcPr>
          <w:p w:rsidR="000C5A33" w:rsidRPr="00DB4613" w:rsidRDefault="000C5A33" w:rsidP="00B611BD">
            <w:pPr>
              <w:rPr>
                <w:b/>
                <w:sz w:val="22"/>
                <w:szCs w:val="22"/>
              </w:rPr>
            </w:pPr>
            <w:r>
              <w:rPr>
                <w:b/>
                <w:sz w:val="22"/>
                <w:szCs w:val="22"/>
              </w:rPr>
              <w:t>Obs</w:t>
            </w:r>
          </w:p>
        </w:tc>
      </w:tr>
      <w:tr w:rsidR="000C5A33" w:rsidRPr="00DB4613" w:rsidTr="00893C2F">
        <w:tc>
          <w:tcPr>
            <w:tcW w:w="233" w:type="pct"/>
            <w:shd w:val="clear" w:color="auto" w:fill="FFFFFF"/>
            <w:vAlign w:val="center"/>
          </w:tcPr>
          <w:p w:rsidR="000C5A33" w:rsidRPr="000C5A33" w:rsidRDefault="000C5A33" w:rsidP="00B611BD">
            <w:pPr>
              <w:pStyle w:val="PargrafodaLista"/>
              <w:numPr>
                <w:ilvl w:val="0"/>
                <w:numId w:val="3"/>
              </w:numPr>
              <w:autoSpaceDE w:val="0"/>
              <w:autoSpaceDN w:val="0"/>
              <w:adjustRightInd w:val="0"/>
              <w:ind w:left="0" w:firstLine="0"/>
              <w:rPr>
                <w:rFonts w:eastAsia="MyriadPro-Regular"/>
                <w:b/>
                <w:color w:val="28282A"/>
                <w:sz w:val="20"/>
                <w:szCs w:val="20"/>
              </w:rPr>
            </w:pPr>
          </w:p>
        </w:tc>
        <w:tc>
          <w:tcPr>
            <w:tcW w:w="3411" w:type="pct"/>
            <w:shd w:val="clear" w:color="auto" w:fill="FFFFFF"/>
            <w:vAlign w:val="center"/>
          </w:tcPr>
          <w:p w:rsidR="000C5A33" w:rsidRPr="00DB4613" w:rsidRDefault="000C5A33" w:rsidP="00B611BD">
            <w:pPr>
              <w:autoSpaceDE w:val="0"/>
              <w:autoSpaceDN w:val="0"/>
              <w:adjustRightInd w:val="0"/>
              <w:rPr>
                <w:rFonts w:eastAsia="MyriadPro-Regular"/>
                <w:b/>
                <w:color w:val="28282A"/>
                <w:sz w:val="22"/>
                <w:szCs w:val="22"/>
              </w:rPr>
            </w:pPr>
            <w:r w:rsidRPr="00DB4613">
              <w:rPr>
                <w:rFonts w:eastAsia="MyriadPro-Regular"/>
                <w:b/>
                <w:color w:val="28282A"/>
                <w:sz w:val="22"/>
                <w:szCs w:val="22"/>
              </w:rPr>
              <w:t>Inclusão Pedido no solicite</w:t>
            </w:r>
            <w:r w:rsidRPr="00DB4613">
              <w:rPr>
                <w:rFonts w:eastAsia="MyriadPro-Regular"/>
                <w:b/>
                <w:color w:val="28282A"/>
                <w:sz w:val="22"/>
                <w:szCs w:val="22"/>
              </w:rPr>
              <w:tab/>
            </w:r>
            <w:r w:rsidRPr="00DB4613">
              <w:rPr>
                <w:rFonts w:eastAsia="MyriadPro-Regular"/>
                <w:b/>
                <w:color w:val="28282A"/>
                <w:sz w:val="22"/>
                <w:szCs w:val="22"/>
              </w:rPr>
              <w:tab/>
            </w:r>
          </w:p>
        </w:tc>
        <w:tc>
          <w:tcPr>
            <w:tcW w:w="859" w:type="pct"/>
            <w:shd w:val="clear" w:color="auto" w:fill="FFFFFF"/>
            <w:vAlign w:val="center"/>
          </w:tcPr>
          <w:p w:rsidR="000C5A33" w:rsidRPr="00DB4613" w:rsidRDefault="000C5A33" w:rsidP="00B611BD">
            <w:pPr>
              <w:autoSpaceDE w:val="0"/>
              <w:autoSpaceDN w:val="0"/>
              <w:adjustRightInd w:val="0"/>
              <w:rPr>
                <w:rFonts w:eastAsia="MyriadPro-Regular"/>
                <w:b/>
                <w:color w:val="28282A"/>
                <w:sz w:val="22"/>
                <w:szCs w:val="22"/>
              </w:rPr>
            </w:pPr>
          </w:p>
        </w:tc>
        <w:tc>
          <w:tcPr>
            <w:tcW w:w="209" w:type="pct"/>
            <w:shd w:val="clear" w:color="auto" w:fill="FFFFFF"/>
            <w:vAlign w:val="center"/>
          </w:tcPr>
          <w:p w:rsidR="000C5A33" w:rsidRPr="00DB4613" w:rsidRDefault="000C5A33" w:rsidP="00B611BD">
            <w:pPr>
              <w:autoSpaceDE w:val="0"/>
              <w:autoSpaceDN w:val="0"/>
              <w:adjustRightInd w:val="0"/>
              <w:rPr>
                <w:rFonts w:eastAsia="MyriadPro-Regular"/>
                <w:b/>
                <w:color w:val="28282A"/>
                <w:sz w:val="22"/>
                <w:szCs w:val="22"/>
              </w:rPr>
            </w:pPr>
          </w:p>
        </w:tc>
        <w:tc>
          <w:tcPr>
            <w:tcW w:w="288" w:type="pct"/>
            <w:shd w:val="clear" w:color="auto" w:fill="FFFFFF"/>
            <w:vAlign w:val="center"/>
          </w:tcPr>
          <w:p w:rsidR="000C5A33" w:rsidRPr="00DB4613" w:rsidRDefault="000C5A33" w:rsidP="00B611BD">
            <w:pPr>
              <w:autoSpaceDE w:val="0"/>
              <w:autoSpaceDN w:val="0"/>
              <w:adjustRightInd w:val="0"/>
              <w:rPr>
                <w:rFonts w:eastAsia="MyriadPro-Regular"/>
                <w:b/>
                <w:color w:val="28282A"/>
                <w:sz w:val="22"/>
                <w:szCs w:val="22"/>
              </w:rPr>
            </w:pPr>
          </w:p>
        </w:tc>
      </w:tr>
      <w:tr w:rsidR="000C5A33" w:rsidRPr="00DB4613"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rFonts w:eastAsia="MyriadPro-Regular"/>
                <w:color w:val="28282A"/>
                <w:sz w:val="20"/>
                <w:szCs w:val="20"/>
              </w:rPr>
            </w:pPr>
          </w:p>
        </w:tc>
        <w:tc>
          <w:tcPr>
            <w:tcW w:w="3411" w:type="pct"/>
            <w:shd w:val="clear" w:color="auto" w:fill="auto"/>
            <w:vAlign w:val="center"/>
          </w:tcPr>
          <w:p w:rsidR="000C5A33" w:rsidRPr="00DB4613" w:rsidRDefault="000C5A33" w:rsidP="00B611BD">
            <w:pPr>
              <w:autoSpaceDE w:val="0"/>
              <w:autoSpaceDN w:val="0"/>
              <w:adjustRightInd w:val="0"/>
              <w:ind w:left="34" w:hanging="34"/>
              <w:rPr>
                <w:rFonts w:eastAsia="MyriadPro-Regular"/>
                <w:color w:val="28282A"/>
                <w:sz w:val="22"/>
                <w:szCs w:val="22"/>
              </w:rPr>
            </w:pPr>
            <w:r w:rsidRPr="00DB4613">
              <w:rPr>
                <w:rFonts w:eastAsia="MyriadPro-Regular"/>
                <w:color w:val="28282A"/>
                <w:sz w:val="22"/>
                <w:szCs w:val="22"/>
              </w:rPr>
              <w:t>Pedido (via SOLICITE) para a contratação/aquisição:</w:t>
            </w:r>
          </w:p>
        </w:tc>
        <w:tc>
          <w:tcPr>
            <w:tcW w:w="859" w:type="pct"/>
            <w:shd w:val="clear" w:color="auto" w:fill="auto"/>
            <w:vAlign w:val="center"/>
          </w:tcPr>
          <w:p w:rsidR="000C5A33" w:rsidRPr="00DB4613" w:rsidRDefault="000C5A33" w:rsidP="00B611BD">
            <w:pPr>
              <w:autoSpaceDE w:val="0"/>
              <w:autoSpaceDN w:val="0"/>
              <w:adjustRightInd w:val="0"/>
              <w:rPr>
                <w:rFonts w:eastAsia="MyriadPro-Regular"/>
                <w:color w:val="28282A"/>
                <w:sz w:val="22"/>
                <w:szCs w:val="22"/>
              </w:rPr>
            </w:pPr>
            <w:r w:rsidRPr="00DB4613">
              <w:rPr>
                <w:rFonts w:eastAsia="MyriadPro-Regular"/>
                <w:color w:val="28282A"/>
                <w:sz w:val="22"/>
                <w:szCs w:val="22"/>
              </w:rPr>
              <w:t>Lei nº 8.666/93, art. 38, caput</w:t>
            </w:r>
          </w:p>
        </w:tc>
        <w:tc>
          <w:tcPr>
            <w:tcW w:w="209" w:type="pct"/>
            <w:shd w:val="clear" w:color="auto" w:fill="auto"/>
            <w:vAlign w:val="center"/>
          </w:tcPr>
          <w:p w:rsidR="000C5A33" w:rsidRPr="00DB4613" w:rsidRDefault="000C5A33" w:rsidP="00B611BD">
            <w:pPr>
              <w:autoSpaceDE w:val="0"/>
              <w:autoSpaceDN w:val="0"/>
              <w:adjustRightInd w:val="0"/>
              <w:rPr>
                <w:rFonts w:eastAsia="MyriadPro-Regular"/>
                <w:color w:val="28282A"/>
                <w:sz w:val="22"/>
                <w:szCs w:val="22"/>
              </w:rPr>
            </w:pPr>
          </w:p>
        </w:tc>
        <w:tc>
          <w:tcPr>
            <w:tcW w:w="288" w:type="pct"/>
            <w:shd w:val="clear" w:color="auto" w:fill="auto"/>
            <w:vAlign w:val="center"/>
          </w:tcPr>
          <w:p w:rsidR="000C5A33" w:rsidRPr="00DB4613" w:rsidRDefault="000C5A33" w:rsidP="00B611BD">
            <w:pPr>
              <w:autoSpaceDE w:val="0"/>
              <w:autoSpaceDN w:val="0"/>
              <w:adjustRightInd w:val="0"/>
              <w:rPr>
                <w:rFonts w:eastAsia="MyriadPro-Regular"/>
                <w:color w:val="28282A"/>
                <w:sz w:val="22"/>
                <w:szCs w:val="22"/>
              </w:rPr>
            </w:pPr>
          </w:p>
        </w:tc>
      </w:tr>
      <w:tr w:rsidR="000C5A33" w:rsidRPr="00DB4613"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color w:val="000000"/>
                <w:sz w:val="20"/>
                <w:szCs w:val="20"/>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DB4613">
              <w:rPr>
                <w:color w:val="000000"/>
                <w:sz w:val="22"/>
                <w:szCs w:val="22"/>
              </w:rPr>
              <w:t>Justificar o serviço</w:t>
            </w:r>
          </w:p>
        </w:tc>
        <w:tc>
          <w:tcPr>
            <w:tcW w:w="859" w:type="pct"/>
            <w:vAlign w:val="center"/>
          </w:tcPr>
          <w:p w:rsidR="000C5A33" w:rsidRPr="00DB4613" w:rsidRDefault="000C5A33" w:rsidP="00B611BD">
            <w:pPr>
              <w:rPr>
                <w:sz w:val="22"/>
                <w:szCs w:val="22"/>
              </w:rPr>
            </w:pPr>
            <w:r w:rsidRPr="00DB4613">
              <w:rPr>
                <w:rFonts w:eastAsia="MyriadPro-Regular"/>
                <w:color w:val="28282A"/>
                <w:sz w:val="22"/>
                <w:szCs w:val="22"/>
              </w:rPr>
              <w:t>Lei nº 8.666/93, art. 38, caput</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color w:val="000000"/>
                <w:sz w:val="20"/>
                <w:szCs w:val="20"/>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DB4613">
              <w:rPr>
                <w:color w:val="000000"/>
                <w:sz w:val="22"/>
                <w:szCs w:val="22"/>
              </w:rPr>
              <w:t>Descrição clara do objeto</w:t>
            </w:r>
            <w:r w:rsidRPr="00DB4613">
              <w:rPr>
                <w:sz w:val="22"/>
                <w:szCs w:val="22"/>
              </w:rPr>
              <w:t xml:space="preserve"> </w:t>
            </w:r>
            <w:r w:rsidRPr="00DB4613">
              <w:rPr>
                <w:color w:val="000000"/>
                <w:sz w:val="22"/>
                <w:szCs w:val="22"/>
              </w:rPr>
              <w:t>inclusive das unidades e quantidades a serem adquiridas.</w:t>
            </w:r>
          </w:p>
        </w:tc>
        <w:tc>
          <w:tcPr>
            <w:tcW w:w="859" w:type="pct"/>
            <w:vAlign w:val="center"/>
          </w:tcPr>
          <w:p w:rsidR="000C5A33" w:rsidRPr="00DB4613" w:rsidRDefault="000C5A33" w:rsidP="00B611BD">
            <w:pPr>
              <w:rPr>
                <w:sz w:val="22"/>
                <w:szCs w:val="22"/>
              </w:rPr>
            </w:pPr>
            <w:r w:rsidRPr="00DB4613">
              <w:rPr>
                <w:rFonts w:eastAsia="MyriadPro-Regular"/>
                <w:color w:val="28282A"/>
                <w:sz w:val="22"/>
                <w:szCs w:val="22"/>
              </w:rPr>
              <w:t>Lei nº 8.666/93, art. 38, caput</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sz w:val="20"/>
                <w:szCs w:val="20"/>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DB4613">
              <w:rPr>
                <w:sz w:val="22"/>
                <w:szCs w:val="22"/>
              </w:rPr>
              <w:t xml:space="preserve">Para o caso de fornecedor exclusivo: </w:t>
            </w:r>
            <w:r w:rsidRPr="00DB4613">
              <w:rPr>
                <w:color w:val="000000"/>
                <w:sz w:val="22"/>
                <w:szCs w:val="22"/>
              </w:rPr>
              <w:t xml:space="preserve">Atestado/declaração de Exclusividade </w:t>
            </w:r>
            <w:r w:rsidRPr="00DB4613">
              <w:rPr>
                <w:sz w:val="22"/>
                <w:szCs w:val="22"/>
              </w:rPr>
              <w:t>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tc>
        <w:tc>
          <w:tcPr>
            <w:tcW w:w="859" w:type="pct"/>
            <w:vAlign w:val="center"/>
          </w:tcPr>
          <w:p w:rsidR="000C5A33" w:rsidRPr="00DB4613" w:rsidRDefault="000C5A33" w:rsidP="00B611BD">
            <w:pPr>
              <w:rPr>
                <w:sz w:val="22"/>
                <w:szCs w:val="22"/>
              </w:rPr>
            </w:pPr>
            <w:r w:rsidRPr="00DB4613">
              <w:rPr>
                <w:sz w:val="22"/>
                <w:szCs w:val="22"/>
              </w:rPr>
              <w:t>Lei nº 8.666/93, art. 25, I</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871D97"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sz w:val="20"/>
                <w:szCs w:val="20"/>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DB4613">
              <w:rPr>
                <w:sz w:val="22"/>
                <w:szCs w:val="22"/>
              </w:rPr>
              <w:t xml:space="preserve"> Para a contratação de serviços técnicos de técnicos profissionais especializados os trabalhos relativos a: estudos técnicos, planejamentos e projetos básicos ou executivos; pareceres, perícias e avaliações em geral; assessorias ou consultorias técnicas e auditorias financeiras ou tributárias; fiscalização, supervisão ou gerenciamento de obras ou serviços; patrocínio ou defesa de causas judiciais ou administrativas; treinamento e aperfeiçoamento de pessoal; restauração de obras de arte e bens de valor histórico:  Justificar a notória especialização do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tc>
        <w:tc>
          <w:tcPr>
            <w:tcW w:w="859" w:type="pct"/>
            <w:vAlign w:val="center"/>
          </w:tcPr>
          <w:p w:rsidR="000C5A33" w:rsidRPr="00DB4613" w:rsidRDefault="000C5A33" w:rsidP="00B611BD">
            <w:pPr>
              <w:rPr>
                <w:sz w:val="22"/>
                <w:szCs w:val="22"/>
                <w:lang w:val="en-US"/>
              </w:rPr>
            </w:pPr>
            <w:r w:rsidRPr="00DB4613">
              <w:rPr>
                <w:sz w:val="22"/>
                <w:szCs w:val="22"/>
                <w:lang w:val="en-US"/>
              </w:rPr>
              <w:t>Art. 13 e Art. 25 II, e Art. 25 § 1</w:t>
            </w:r>
            <w:r w:rsidRPr="00DB4613">
              <w:rPr>
                <w:sz w:val="22"/>
                <w:szCs w:val="22"/>
                <w:u w:val="single"/>
                <w:vertAlign w:val="superscript"/>
                <w:lang w:val="en-US"/>
              </w:rPr>
              <w:t>o</w:t>
            </w:r>
            <w:r w:rsidRPr="00DB4613">
              <w:rPr>
                <w:sz w:val="22"/>
                <w:szCs w:val="22"/>
                <w:lang w:val="en-US"/>
              </w:rPr>
              <w:t>  </w:t>
            </w:r>
          </w:p>
        </w:tc>
        <w:tc>
          <w:tcPr>
            <w:tcW w:w="209" w:type="pct"/>
            <w:vAlign w:val="center"/>
          </w:tcPr>
          <w:p w:rsidR="000C5A33" w:rsidRPr="00DB4613" w:rsidRDefault="000C5A33" w:rsidP="00B611BD">
            <w:pPr>
              <w:rPr>
                <w:sz w:val="22"/>
                <w:szCs w:val="22"/>
                <w:lang w:val="en-US"/>
              </w:rPr>
            </w:pPr>
          </w:p>
        </w:tc>
        <w:tc>
          <w:tcPr>
            <w:tcW w:w="288" w:type="pct"/>
            <w:vAlign w:val="center"/>
          </w:tcPr>
          <w:p w:rsidR="000C5A33" w:rsidRPr="00DB4613" w:rsidRDefault="000C5A33" w:rsidP="00B611BD">
            <w:pPr>
              <w:rPr>
                <w:sz w:val="22"/>
                <w:szCs w:val="22"/>
                <w:lang w:val="en-US"/>
              </w:rPr>
            </w:pPr>
          </w:p>
        </w:tc>
      </w:tr>
      <w:tr w:rsidR="000C5A33" w:rsidRPr="00DB4613"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sz w:val="20"/>
                <w:szCs w:val="20"/>
                <w:lang w:val="en-US"/>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C61425">
              <w:rPr>
                <w:sz w:val="22"/>
                <w:szCs w:val="22"/>
                <w:lang w:val="en-US"/>
              </w:rPr>
              <w:t xml:space="preserve"> </w:t>
            </w:r>
            <w:r w:rsidRPr="00DB4613">
              <w:rPr>
                <w:color w:val="000000"/>
                <w:sz w:val="22"/>
                <w:szCs w:val="22"/>
              </w:rPr>
              <w:t>Justificativa do preço (cópias de notas fiscais e/ou empenhos de fornecimento do mesmo bem/serviço)</w:t>
            </w:r>
          </w:p>
        </w:tc>
        <w:tc>
          <w:tcPr>
            <w:tcW w:w="859" w:type="pct"/>
            <w:vAlign w:val="center"/>
          </w:tcPr>
          <w:p w:rsidR="000C5A33" w:rsidRPr="00DB4613" w:rsidRDefault="000C5A33" w:rsidP="00B611BD">
            <w:pPr>
              <w:rPr>
                <w:sz w:val="22"/>
                <w:szCs w:val="22"/>
              </w:rPr>
            </w:pPr>
            <w:r w:rsidRPr="00DB4613">
              <w:rPr>
                <w:sz w:val="22"/>
                <w:szCs w:val="22"/>
              </w:rPr>
              <w:t>Lei nº 8.666/93, art. 26, Parágrafo único, III</w:t>
            </w:r>
          </w:p>
          <w:p w:rsidR="000C5A33" w:rsidRPr="00DB4613" w:rsidRDefault="000C5A33" w:rsidP="00893C2F">
            <w:pPr>
              <w:rPr>
                <w:sz w:val="22"/>
                <w:szCs w:val="22"/>
              </w:rPr>
            </w:pPr>
            <w:r w:rsidRPr="00DB4613">
              <w:rPr>
                <w:sz w:val="22"/>
                <w:szCs w:val="22"/>
              </w:rPr>
              <w:t xml:space="preserve">Orientação Normativa AGU Nº 17 alterada pela </w:t>
            </w:r>
            <w:r w:rsidR="00893C2F">
              <w:rPr>
                <w:sz w:val="22"/>
                <w:szCs w:val="22"/>
              </w:rPr>
              <w:t xml:space="preserve">Port. </w:t>
            </w:r>
            <w:r w:rsidRPr="00DB4613">
              <w:rPr>
                <w:sz w:val="22"/>
                <w:szCs w:val="22"/>
              </w:rPr>
              <w:t>AGU Nº 572, DE 13.12.2011</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tcBorders>
              <w:top w:val="single" w:sz="4" w:space="0" w:color="auto"/>
              <w:left w:val="single" w:sz="4" w:space="0" w:color="auto"/>
              <w:bottom w:val="single" w:sz="4" w:space="0" w:color="auto"/>
              <w:right w:val="single" w:sz="4" w:space="0" w:color="auto"/>
            </w:tcBorders>
            <w:vAlign w:val="center"/>
          </w:tcPr>
          <w:p w:rsidR="000C5A33" w:rsidRPr="000C5A33" w:rsidRDefault="000C5A33" w:rsidP="00B611BD">
            <w:pPr>
              <w:pStyle w:val="PargrafodaLista"/>
              <w:numPr>
                <w:ilvl w:val="2"/>
                <w:numId w:val="3"/>
              </w:numPr>
              <w:autoSpaceDE w:val="0"/>
              <w:autoSpaceDN w:val="0"/>
              <w:adjustRightInd w:val="0"/>
              <w:ind w:left="317" w:right="-391" w:firstLine="0"/>
              <w:rPr>
                <w:sz w:val="20"/>
                <w:szCs w:val="20"/>
              </w:rPr>
            </w:pPr>
          </w:p>
        </w:tc>
        <w:tc>
          <w:tcPr>
            <w:tcW w:w="3411"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autoSpaceDE w:val="0"/>
              <w:autoSpaceDN w:val="0"/>
              <w:adjustRightInd w:val="0"/>
              <w:ind w:left="34" w:hanging="34"/>
              <w:rPr>
                <w:sz w:val="22"/>
                <w:szCs w:val="22"/>
              </w:rPr>
            </w:pPr>
            <w:r w:rsidRPr="00DB4613">
              <w:rPr>
                <w:sz w:val="22"/>
                <w:szCs w:val="22"/>
              </w:rPr>
              <w:t>Documento de aprovação dos projetos de pesquisa aos quais os bens/serviços serão alocados (quando for o caso)</w:t>
            </w:r>
          </w:p>
        </w:tc>
        <w:tc>
          <w:tcPr>
            <w:tcW w:w="859"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rPr>
                <w:sz w:val="22"/>
                <w:szCs w:val="22"/>
              </w:rPr>
            </w:pPr>
            <w:r w:rsidRPr="00DB4613">
              <w:rPr>
                <w:sz w:val="22"/>
                <w:szCs w:val="22"/>
              </w:rPr>
              <w:t>Lei nº 8.666/93, art. 26, IV</w:t>
            </w:r>
          </w:p>
        </w:tc>
        <w:tc>
          <w:tcPr>
            <w:tcW w:w="209"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rPr>
                <w:sz w:val="22"/>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sz w:val="20"/>
                <w:szCs w:val="20"/>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DB4613">
              <w:rPr>
                <w:sz w:val="22"/>
                <w:szCs w:val="22"/>
              </w:rPr>
              <w:t xml:space="preserve"> </w:t>
            </w:r>
            <w:r w:rsidRPr="00DB4613">
              <w:rPr>
                <w:color w:val="000000"/>
                <w:sz w:val="22"/>
                <w:szCs w:val="22"/>
              </w:rPr>
              <w:t>Justificativa técnica de razão da escolha do fornecedor ou executante.</w:t>
            </w:r>
          </w:p>
        </w:tc>
        <w:tc>
          <w:tcPr>
            <w:tcW w:w="859" w:type="pct"/>
            <w:vAlign w:val="center"/>
          </w:tcPr>
          <w:p w:rsidR="000C5A33" w:rsidRPr="00DB4613" w:rsidRDefault="000C5A33" w:rsidP="00B611BD">
            <w:pPr>
              <w:rPr>
                <w:sz w:val="22"/>
                <w:szCs w:val="22"/>
              </w:rPr>
            </w:pPr>
            <w:r w:rsidRPr="00DB4613">
              <w:rPr>
                <w:sz w:val="22"/>
                <w:szCs w:val="22"/>
              </w:rPr>
              <w:t>Lei nº 8.666/93, art. 26, II</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871D97" w:rsidTr="00893C2F">
        <w:tc>
          <w:tcPr>
            <w:tcW w:w="233" w:type="pct"/>
            <w:vAlign w:val="center"/>
          </w:tcPr>
          <w:p w:rsidR="000C5A33" w:rsidRPr="000C5A33" w:rsidRDefault="000C5A33" w:rsidP="00B611BD">
            <w:pPr>
              <w:pStyle w:val="PargrafodaLista"/>
              <w:numPr>
                <w:ilvl w:val="2"/>
                <w:numId w:val="3"/>
              </w:numPr>
              <w:autoSpaceDE w:val="0"/>
              <w:autoSpaceDN w:val="0"/>
              <w:adjustRightInd w:val="0"/>
              <w:ind w:left="317" w:right="-391" w:firstLine="0"/>
              <w:rPr>
                <w:sz w:val="20"/>
                <w:szCs w:val="20"/>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DB4613">
              <w:rPr>
                <w:sz w:val="22"/>
                <w:szCs w:val="22"/>
              </w:rPr>
              <w:t>Indicação do recurso próprio para a despesa</w:t>
            </w:r>
          </w:p>
        </w:tc>
        <w:tc>
          <w:tcPr>
            <w:tcW w:w="859" w:type="pct"/>
            <w:vAlign w:val="center"/>
          </w:tcPr>
          <w:p w:rsidR="000C5A33" w:rsidRPr="00681E93" w:rsidRDefault="000C5A33" w:rsidP="00B611BD">
            <w:pPr>
              <w:rPr>
                <w:sz w:val="22"/>
                <w:szCs w:val="22"/>
                <w:lang w:val="en-US"/>
              </w:rPr>
            </w:pPr>
            <w:r w:rsidRPr="00681E93">
              <w:rPr>
                <w:sz w:val="22"/>
                <w:szCs w:val="22"/>
                <w:lang w:val="en-US"/>
              </w:rPr>
              <w:t>Lei nº 8.666/93, art. 7º, § 2º, III, art. 14, caput e art. 38, caput</w:t>
            </w:r>
          </w:p>
        </w:tc>
        <w:tc>
          <w:tcPr>
            <w:tcW w:w="209" w:type="pct"/>
            <w:vAlign w:val="center"/>
          </w:tcPr>
          <w:p w:rsidR="000C5A33" w:rsidRPr="00681E93" w:rsidRDefault="000C5A33" w:rsidP="00B611BD">
            <w:pPr>
              <w:rPr>
                <w:sz w:val="22"/>
                <w:szCs w:val="22"/>
                <w:lang w:val="en-US"/>
              </w:rPr>
            </w:pPr>
          </w:p>
        </w:tc>
        <w:tc>
          <w:tcPr>
            <w:tcW w:w="288" w:type="pct"/>
            <w:vAlign w:val="center"/>
          </w:tcPr>
          <w:p w:rsidR="000C5A33" w:rsidRPr="00681E93" w:rsidRDefault="000C5A33" w:rsidP="00B611BD">
            <w:pPr>
              <w:rPr>
                <w:sz w:val="22"/>
                <w:szCs w:val="22"/>
                <w:lang w:val="en-US"/>
              </w:rPr>
            </w:pPr>
          </w:p>
        </w:tc>
      </w:tr>
      <w:tr w:rsidR="000C5A33" w:rsidRPr="00DB4613" w:rsidTr="00893C2F">
        <w:tc>
          <w:tcPr>
            <w:tcW w:w="233" w:type="pct"/>
            <w:vAlign w:val="center"/>
          </w:tcPr>
          <w:p w:rsidR="000C5A33" w:rsidRPr="00C61425" w:rsidRDefault="000C5A33" w:rsidP="00B611BD">
            <w:pPr>
              <w:pStyle w:val="PargrafodaLista"/>
              <w:numPr>
                <w:ilvl w:val="2"/>
                <w:numId w:val="3"/>
              </w:numPr>
              <w:autoSpaceDE w:val="0"/>
              <w:autoSpaceDN w:val="0"/>
              <w:adjustRightInd w:val="0"/>
              <w:ind w:left="317" w:right="-391" w:firstLine="0"/>
              <w:rPr>
                <w:sz w:val="20"/>
                <w:szCs w:val="20"/>
                <w:lang w:val="en-US"/>
              </w:rPr>
            </w:pPr>
          </w:p>
        </w:tc>
        <w:tc>
          <w:tcPr>
            <w:tcW w:w="3411" w:type="pct"/>
            <w:vAlign w:val="center"/>
          </w:tcPr>
          <w:p w:rsidR="000C5A33" w:rsidRPr="00DB4613" w:rsidRDefault="000C5A33" w:rsidP="00B611BD">
            <w:pPr>
              <w:autoSpaceDE w:val="0"/>
              <w:autoSpaceDN w:val="0"/>
              <w:adjustRightInd w:val="0"/>
              <w:ind w:left="34" w:hanging="34"/>
              <w:rPr>
                <w:sz w:val="22"/>
                <w:szCs w:val="22"/>
              </w:rPr>
            </w:pPr>
            <w:r w:rsidRPr="00DB4613">
              <w:rPr>
                <w:sz w:val="22"/>
                <w:szCs w:val="22"/>
              </w:rPr>
              <w:t>Autorização, emitida pela autoridade competente (ordenador de despes</w:t>
            </w:r>
            <w:r>
              <w:rPr>
                <w:sz w:val="22"/>
                <w:szCs w:val="22"/>
              </w:rPr>
              <w:t>as) para realização do serviço ou aquisição</w:t>
            </w:r>
            <w:r w:rsidRPr="00DB4613">
              <w:rPr>
                <w:sz w:val="22"/>
                <w:szCs w:val="22"/>
              </w:rPr>
              <w:t>.</w:t>
            </w:r>
          </w:p>
        </w:tc>
        <w:tc>
          <w:tcPr>
            <w:tcW w:w="859" w:type="pct"/>
            <w:vAlign w:val="center"/>
          </w:tcPr>
          <w:p w:rsidR="000C5A33" w:rsidRPr="00DB4613" w:rsidRDefault="000C5A33" w:rsidP="00B611BD">
            <w:pPr>
              <w:rPr>
                <w:i/>
                <w:sz w:val="22"/>
                <w:szCs w:val="22"/>
              </w:rPr>
            </w:pPr>
            <w:r w:rsidRPr="00DB4613">
              <w:rPr>
                <w:sz w:val="22"/>
                <w:szCs w:val="22"/>
              </w:rPr>
              <w:t xml:space="preserve">Lei nº 8.666/93, art. 38, </w:t>
            </w:r>
            <w:r w:rsidRPr="00DB4613">
              <w:rPr>
                <w:i/>
                <w:sz w:val="22"/>
                <w:szCs w:val="22"/>
              </w:rPr>
              <w:t>caput</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rFonts w:eastAsia="MyriadPro-Regular"/>
                <w:sz w:val="22"/>
                <w:szCs w:val="22"/>
              </w:rPr>
            </w:pPr>
            <w:r w:rsidRPr="00DB4613">
              <w:rPr>
                <w:sz w:val="22"/>
                <w:szCs w:val="22"/>
              </w:rPr>
              <w:t>Processo administrativo, devidamente autuado, protocolado e numerado.</w:t>
            </w:r>
          </w:p>
        </w:tc>
        <w:tc>
          <w:tcPr>
            <w:tcW w:w="859" w:type="pct"/>
            <w:vAlign w:val="center"/>
          </w:tcPr>
          <w:p w:rsidR="000C5A33" w:rsidRPr="00DB4613" w:rsidRDefault="000C5A33" w:rsidP="00B611BD">
            <w:pPr>
              <w:rPr>
                <w:i/>
                <w:sz w:val="22"/>
                <w:szCs w:val="22"/>
              </w:rPr>
            </w:pPr>
            <w:r w:rsidRPr="00DB4613">
              <w:rPr>
                <w:sz w:val="22"/>
                <w:szCs w:val="22"/>
              </w:rPr>
              <w:t xml:space="preserve">Lei nº 8.666/93, </w:t>
            </w:r>
            <w:r w:rsidRPr="00DB4613">
              <w:rPr>
                <w:sz w:val="22"/>
                <w:szCs w:val="22"/>
              </w:rPr>
              <w:lastRenderedPageBreak/>
              <w:t xml:space="preserve">art. 38, </w:t>
            </w:r>
            <w:r w:rsidRPr="00DB4613">
              <w:rPr>
                <w:i/>
                <w:sz w:val="22"/>
                <w:szCs w:val="22"/>
              </w:rPr>
              <w:t>caput</w:t>
            </w:r>
          </w:p>
          <w:p w:rsidR="000C5A33" w:rsidRPr="00DB4613" w:rsidRDefault="000C5A33" w:rsidP="00B611BD">
            <w:pPr>
              <w:rPr>
                <w:sz w:val="22"/>
                <w:szCs w:val="22"/>
              </w:rPr>
            </w:pPr>
            <w:r w:rsidRPr="00DB4613">
              <w:rPr>
                <w:sz w:val="22"/>
                <w:szCs w:val="22"/>
              </w:rPr>
              <w:t>item 5.1 da Portaria Normativa SLTI/MPOG nº 5, de 19.12.02</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Documentação de regularidade do cadastro do fornecedor junto ao SICAF.</w:t>
            </w:r>
          </w:p>
        </w:tc>
        <w:tc>
          <w:tcPr>
            <w:tcW w:w="859" w:type="pct"/>
            <w:vAlign w:val="center"/>
          </w:tcPr>
          <w:p w:rsidR="000C5A33" w:rsidRPr="00DB4613" w:rsidRDefault="000C5A33" w:rsidP="00B611BD">
            <w:pPr>
              <w:rPr>
                <w:sz w:val="22"/>
                <w:szCs w:val="22"/>
              </w:rPr>
            </w:pPr>
            <w:r w:rsidRPr="00DB4613">
              <w:rPr>
                <w:sz w:val="22"/>
                <w:szCs w:val="22"/>
              </w:rPr>
              <w:t>Lei nº 8.666/93, art. 28, 29 e 31</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Documentação relativa à qualificação técnica (Atestado de Capacidade Técnica), quando for o caso.</w:t>
            </w:r>
          </w:p>
        </w:tc>
        <w:tc>
          <w:tcPr>
            <w:tcW w:w="859" w:type="pct"/>
            <w:vAlign w:val="center"/>
          </w:tcPr>
          <w:p w:rsidR="000C5A33" w:rsidRPr="00DB4613" w:rsidRDefault="000C5A33" w:rsidP="00B611BD">
            <w:pPr>
              <w:rPr>
                <w:sz w:val="22"/>
                <w:szCs w:val="22"/>
              </w:rPr>
            </w:pPr>
            <w:r w:rsidRPr="00DB4613">
              <w:rPr>
                <w:sz w:val="22"/>
                <w:szCs w:val="22"/>
              </w:rPr>
              <w:t>Lei nº 8.666/93, art. 30</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871D97"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Certidão negativa de débitos trabalhistas.</w:t>
            </w:r>
          </w:p>
        </w:tc>
        <w:tc>
          <w:tcPr>
            <w:tcW w:w="859" w:type="pct"/>
            <w:vAlign w:val="center"/>
          </w:tcPr>
          <w:p w:rsidR="000C5A33" w:rsidRPr="00DB4613" w:rsidRDefault="000C5A33" w:rsidP="00B611BD">
            <w:pPr>
              <w:rPr>
                <w:sz w:val="22"/>
                <w:szCs w:val="22"/>
                <w:lang w:val="en-US"/>
              </w:rPr>
            </w:pPr>
            <w:r w:rsidRPr="00DB4613">
              <w:rPr>
                <w:sz w:val="22"/>
                <w:szCs w:val="22"/>
                <w:lang w:val="en-US"/>
              </w:rPr>
              <w:t>INSS - art. 195, §3°, CF 1988, FGTS – art. 2°, Lei 9.012/95, Lei 12.440/11</w:t>
            </w:r>
          </w:p>
        </w:tc>
        <w:tc>
          <w:tcPr>
            <w:tcW w:w="209" w:type="pct"/>
            <w:vAlign w:val="center"/>
          </w:tcPr>
          <w:p w:rsidR="000C5A33" w:rsidRPr="00DB4613" w:rsidRDefault="000C5A33" w:rsidP="00B611BD">
            <w:pPr>
              <w:rPr>
                <w:sz w:val="22"/>
                <w:szCs w:val="22"/>
                <w:lang w:val="en-US"/>
              </w:rPr>
            </w:pPr>
          </w:p>
        </w:tc>
        <w:tc>
          <w:tcPr>
            <w:tcW w:w="288" w:type="pct"/>
            <w:vAlign w:val="center"/>
          </w:tcPr>
          <w:p w:rsidR="000C5A33" w:rsidRPr="00DB4613" w:rsidRDefault="000C5A33" w:rsidP="00B611BD">
            <w:pPr>
              <w:rPr>
                <w:sz w:val="22"/>
                <w:szCs w:val="22"/>
                <w:lang w:val="en-US"/>
              </w:rPr>
            </w:pPr>
          </w:p>
        </w:tc>
      </w:tr>
      <w:tr w:rsidR="000C5A33" w:rsidRPr="00DB4613" w:rsidTr="00893C2F">
        <w:tc>
          <w:tcPr>
            <w:tcW w:w="233" w:type="pct"/>
            <w:vAlign w:val="center"/>
          </w:tcPr>
          <w:p w:rsidR="000C5A33" w:rsidRPr="00C61425" w:rsidRDefault="000C5A33" w:rsidP="00B611BD">
            <w:pPr>
              <w:pStyle w:val="PargrafodaLista"/>
              <w:numPr>
                <w:ilvl w:val="0"/>
                <w:numId w:val="3"/>
              </w:numPr>
              <w:autoSpaceDE w:val="0"/>
              <w:autoSpaceDN w:val="0"/>
              <w:adjustRightInd w:val="0"/>
              <w:ind w:left="0" w:firstLine="0"/>
              <w:rPr>
                <w:sz w:val="20"/>
                <w:szCs w:val="20"/>
                <w:lang w:val="en-US"/>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Declaração do cumprimento do disposto no art. 7º, XXXIII da Constituição Federal (proibição de trabalho infantil)</w:t>
            </w:r>
          </w:p>
        </w:tc>
        <w:tc>
          <w:tcPr>
            <w:tcW w:w="859" w:type="pct"/>
            <w:vAlign w:val="center"/>
          </w:tcPr>
          <w:p w:rsidR="000C5A33" w:rsidRPr="00DB4613" w:rsidRDefault="000C5A33" w:rsidP="00B611BD">
            <w:pPr>
              <w:rPr>
                <w:sz w:val="22"/>
                <w:szCs w:val="22"/>
              </w:rPr>
            </w:pPr>
            <w:r w:rsidRPr="00DB4613">
              <w:rPr>
                <w:sz w:val="22"/>
                <w:szCs w:val="22"/>
              </w:rPr>
              <w:t xml:space="preserve">Lei nº 8.666/93, art. 27, V </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Pr>
                <w:sz w:val="22"/>
                <w:szCs w:val="22"/>
              </w:rPr>
              <w:t>Averiguar</w:t>
            </w:r>
            <w:r w:rsidRPr="00DB4613">
              <w:rPr>
                <w:sz w:val="22"/>
                <w:szCs w:val="22"/>
              </w:rPr>
              <w:t xml:space="preserve"> a veracidade do atestado de exclusividade</w:t>
            </w:r>
          </w:p>
        </w:tc>
        <w:tc>
          <w:tcPr>
            <w:tcW w:w="859" w:type="pct"/>
            <w:vAlign w:val="center"/>
          </w:tcPr>
          <w:p w:rsidR="000C5A33" w:rsidRPr="00DB4613" w:rsidRDefault="000C5A33" w:rsidP="00B611BD">
            <w:pPr>
              <w:rPr>
                <w:sz w:val="22"/>
                <w:szCs w:val="22"/>
              </w:rPr>
            </w:pPr>
            <w:r w:rsidRPr="00DB4613">
              <w:rPr>
                <w:sz w:val="22"/>
                <w:szCs w:val="22"/>
              </w:rPr>
              <w:t>Orientação Normativa AGU n° 16, de 1</w:t>
            </w:r>
            <w:r>
              <w:rPr>
                <w:sz w:val="22"/>
                <w:szCs w:val="22"/>
              </w:rPr>
              <w:t>/04/</w:t>
            </w:r>
            <w:r w:rsidRPr="00DB4613">
              <w:rPr>
                <w:sz w:val="22"/>
                <w:szCs w:val="22"/>
              </w:rPr>
              <w:t>09</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8B5B8C" w:rsidP="00601F00">
            <w:pPr>
              <w:autoSpaceDE w:val="0"/>
              <w:autoSpaceDN w:val="0"/>
              <w:adjustRightInd w:val="0"/>
              <w:rPr>
                <w:sz w:val="22"/>
                <w:szCs w:val="22"/>
              </w:rPr>
            </w:pPr>
            <w:r>
              <w:rPr>
                <w:sz w:val="22"/>
                <w:szCs w:val="22"/>
              </w:rPr>
              <w:t xml:space="preserve">Para </w:t>
            </w:r>
            <w:r w:rsidRPr="008B5B8C">
              <w:rPr>
                <w:sz w:val="22"/>
                <w:szCs w:val="22"/>
              </w:rPr>
              <w:t>obras e serviços de engenharia</w:t>
            </w:r>
            <w:r>
              <w:rPr>
                <w:sz w:val="22"/>
                <w:szCs w:val="22"/>
              </w:rPr>
              <w:t xml:space="preserve"> abaixo de R$ 15 mil e </w:t>
            </w:r>
            <w:r w:rsidRPr="008B5B8C">
              <w:rPr>
                <w:sz w:val="22"/>
                <w:szCs w:val="22"/>
              </w:rPr>
              <w:t>para compras e serviços</w:t>
            </w:r>
            <w:r>
              <w:rPr>
                <w:sz w:val="22"/>
                <w:szCs w:val="22"/>
              </w:rPr>
              <w:t xml:space="preserve"> abaixo de R$ 8 mil, p</w:t>
            </w:r>
            <w:r w:rsidR="00A412CB" w:rsidRPr="009D064A">
              <w:rPr>
                <w:sz w:val="22"/>
                <w:szCs w:val="22"/>
              </w:rPr>
              <w:t xml:space="preserve">areceres técnicos ou jurídicos emitidos sobre a </w:t>
            </w:r>
            <w:r w:rsidR="00601F00">
              <w:rPr>
                <w:sz w:val="22"/>
                <w:szCs w:val="22"/>
              </w:rPr>
              <w:t>inexigibilidade</w:t>
            </w:r>
            <w:r w:rsidR="00A412CB" w:rsidRPr="009D064A">
              <w:rPr>
                <w:sz w:val="22"/>
                <w:szCs w:val="22"/>
              </w:rPr>
              <w:t xml:space="preserve"> são necessários </w:t>
            </w:r>
            <w:r w:rsidR="00A412CB" w:rsidRPr="00B9058F">
              <w:rPr>
                <w:b/>
                <w:sz w:val="22"/>
                <w:szCs w:val="22"/>
              </w:rPr>
              <w:t>apenas</w:t>
            </w:r>
            <w:r w:rsidR="00A412CB" w:rsidRPr="009D064A">
              <w:rPr>
                <w:sz w:val="22"/>
                <w:szCs w:val="22"/>
              </w:rPr>
              <w:t xml:space="preserve"> quando houver minuta de contrato não padronizada ou haja, o administrador, suscitado dúvida jurídica sobre tal contratação</w:t>
            </w:r>
            <w:r>
              <w:rPr>
                <w:sz w:val="22"/>
                <w:szCs w:val="22"/>
              </w:rPr>
              <w:t>. Acima desse valor, devem haver p</w:t>
            </w:r>
            <w:r w:rsidRPr="009D064A">
              <w:rPr>
                <w:sz w:val="22"/>
                <w:szCs w:val="22"/>
              </w:rPr>
              <w:t>areceres técnicos ou jurídicos</w:t>
            </w:r>
            <w:r w:rsidR="005D7209">
              <w:rPr>
                <w:sz w:val="22"/>
                <w:szCs w:val="22"/>
              </w:rPr>
              <w:t>.</w:t>
            </w:r>
          </w:p>
        </w:tc>
        <w:tc>
          <w:tcPr>
            <w:tcW w:w="859" w:type="pct"/>
            <w:vAlign w:val="center"/>
          </w:tcPr>
          <w:p w:rsidR="000C5A33" w:rsidRDefault="000C5A33" w:rsidP="00B611BD">
            <w:pPr>
              <w:rPr>
                <w:sz w:val="22"/>
                <w:szCs w:val="22"/>
              </w:rPr>
            </w:pPr>
            <w:r w:rsidRPr="00DB4613">
              <w:rPr>
                <w:sz w:val="22"/>
                <w:szCs w:val="22"/>
              </w:rPr>
              <w:t>Lei nº 8.666/93, art. 38, VI</w:t>
            </w:r>
          </w:p>
          <w:p w:rsidR="00202A85" w:rsidRPr="00DB4613" w:rsidRDefault="00202A85" w:rsidP="00B611BD">
            <w:pPr>
              <w:rPr>
                <w:sz w:val="22"/>
                <w:szCs w:val="22"/>
              </w:rPr>
            </w:pPr>
            <w:r w:rsidRPr="009D064A">
              <w:rPr>
                <w:sz w:val="22"/>
                <w:szCs w:val="22"/>
              </w:rPr>
              <w:t>Orientação Normativa AGU nº 46, de 26/02/2014</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Fundamentação e a comprovação da hipótese da inexigibilidade</w:t>
            </w:r>
          </w:p>
        </w:tc>
        <w:tc>
          <w:tcPr>
            <w:tcW w:w="859" w:type="pct"/>
            <w:vAlign w:val="center"/>
          </w:tcPr>
          <w:p w:rsidR="000C5A33" w:rsidRPr="00DB4613" w:rsidRDefault="000C5A33" w:rsidP="00B611BD">
            <w:pPr>
              <w:rPr>
                <w:sz w:val="22"/>
                <w:szCs w:val="22"/>
              </w:rPr>
            </w:pPr>
            <w:r w:rsidRPr="00DB4613">
              <w:rPr>
                <w:sz w:val="22"/>
                <w:szCs w:val="22"/>
              </w:rPr>
              <w:t>Lei nº 8.666/93, art. 24</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tcBorders>
              <w:top w:val="single" w:sz="4" w:space="0" w:color="auto"/>
              <w:left w:val="single" w:sz="4" w:space="0" w:color="auto"/>
              <w:bottom w:val="single" w:sz="4" w:space="0" w:color="auto"/>
              <w:right w:val="single" w:sz="4" w:space="0" w:color="auto"/>
            </w:tcBorders>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autoSpaceDE w:val="0"/>
              <w:autoSpaceDN w:val="0"/>
              <w:adjustRightInd w:val="0"/>
              <w:rPr>
                <w:sz w:val="22"/>
                <w:szCs w:val="22"/>
              </w:rPr>
            </w:pPr>
            <w:r w:rsidRPr="00DB4613">
              <w:rPr>
                <w:sz w:val="22"/>
                <w:szCs w:val="22"/>
              </w:rPr>
              <w:t>Atos de adjudicação do objeto da licitação e da sua homologação.</w:t>
            </w:r>
          </w:p>
        </w:tc>
        <w:tc>
          <w:tcPr>
            <w:tcW w:w="859"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rPr>
                <w:sz w:val="22"/>
                <w:szCs w:val="22"/>
              </w:rPr>
            </w:pPr>
            <w:r w:rsidRPr="00DB4613">
              <w:rPr>
                <w:sz w:val="22"/>
                <w:szCs w:val="22"/>
              </w:rPr>
              <w:t>Lei nº 8.666/93, art. 38, VII</w:t>
            </w:r>
          </w:p>
        </w:tc>
        <w:tc>
          <w:tcPr>
            <w:tcW w:w="209"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rPr>
                <w:sz w:val="22"/>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Emissão da pré-minuta de empenho e dos atos de adjudicação do objeto da Inexigibilidade.</w:t>
            </w:r>
          </w:p>
        </w:tc>
        <w:tc>
          <w:tcPr>
            <w:tcW w:w="859" w:type="pct"/>
            <w:vAlign w:val="center"/>
          </w:tcPr>
          <w:p w:rsidR="000C5A33" w:rsidRPr="00DB4613" w:rsidRDefault="000C5A33" w:rsidP="00B611BD">
            <w:pPr>
              <w:rPr>
                <w:sz w:val="22"/>
                <w:szCs w:val="22"/>
              </w:rPr>
            </w:pPr>
            <w:r w:rsidRPr="00DB4613">
              <w:rPr>
                <w:sz w:val="22"/>
                <w:szCs w:val="22"/>
              </w:rPr>
              <w:t>Lei nº 8.666/93, art. 38, VII</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Comunicação dentro de 3 (três) dias à autoridade superior para ratificação como condição para a eficácia dos atos</w:t>
            </w:r>
          </w:p>
        </w:tc>
        <w:tc>
          <w:tcPr>
            <w:tcW w:w="859" w:type="pct"/>
            <w:vAlign w:val="center"/>
          </w:tcPr>
          <w:p w:rsidR="000C5A33" w:rsidRPr="00DB4613" w:rsidRDefault="000C5A33" w:rsidP="00B611BD">
            <w:pPr>
              <w:rPr>
                <w:sz w:val="22"/>
                <w:szCs w:val="22"/>
              </w:rPr>
            </w:pPr>
            <w:r w:rsidRPr="00DB4613">
              <w:rPr>
                <w:sz w:val="22"/>
                <w:szCs w:val="22"/>
              </w:rPr>
              <w:t xml:space="preserve">Lei nº 8.666/93, art. 26, caput </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Publicação na imprensa oficial no prazo de 5 (cinco) dias após a ratificação como condição para a eficácia dos atos.</w:t>
            </w:r>
          </w:p>
        </w:tc>
        <w:tc>
          <w:tcPr>
            <w:tcW w:w="859" w:type="pct"/>
            <w:vAlign w:val="center"/>
          </w:tcPr>
          <w:p w:rsidR="000C5A33" w:rsidRPr="00DB4613" w:rsidRDefault="000C5A33" w:rsidP="00B611BD">
            <w:pPr>
              <w:rPr>
                <w:sz w:val="22"/>
                <w:szCs w:val="22"/>
              </w:rPr>
            </w:pPr>
            <w:r w:rsidRPr="00DB4613">
              <w:rPr>
                <w:sz w:val="22"/>
                <w:szCs w:val="22"/>
              </w:rPr>
              <w:t>Lei nº 8.666/93, art. 26, caput</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Homologação emitida pela autoridade competente (ordenador de despesas) para emissão da nota de empenho da inexigibilidade</w:t>
            </w:r>
          </w:p>
        </w:tc>
        <w:tc>
          <w:tcPr>
            <w:tcW w:w="859" w:type="pct"/>
            <w:vAlign w:val="center"/>
          </w:tcPr>
          <w:p w:rsidR="000C5A33" w:rsidRPr="00DB4613" w:rsidRDefault="000C5A33" w:rsidP="00B611BD">
            <w:pPr>
              <w:rPr>
                <w:sz w:val="22"/>
                <w:szCs w:val="22"/>
              </w:rPr>
            </w:pPr>
            <w:r w:rsidRPr="00DB4613">
              <w:rPr>
                <w:sz w:val="22"/>
                <w:szCs w:val="22"/>
              </w:rPr>
              <w:t xml:space="preserve">Lei nº 8.666/93, art. 38, </w:t>
            </w:r>
            <w:r w:rsidRPr="00DB4613">
              <w:rPr>
                <w:i/>
                <w:sz w:val="22"/>
                <w:szCs w:val="22"/>
              </w:rPr>
              <w:t>caput</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Nota de empenho devidamente assinada e termo de contrato (se for o caso).</w:t>
            </w:r>
          </w:p>
        </w:tc>
        <w:tc>
          <w:tcPr>
            <w:tcW w:w="859" w:type="pct"/>
            <w:vAlign w:val="center"/>
          </w:tcPr>
          <w:p w:rsidR="000C5A33" w:rsidRPr="00DB4613" w:rsidRDefault="000C5A33" w:rsidP="00B611BD">
            <w:pPr>
              <w:rPr>
                <w:sz w:val="22"/>
                <w:szCs w:val="22"/>
              </w:rPr>
            </w:pPr>
            <w:r w:rsidRPr="00DB4613">
              <w:rPr>
                <w:sz w:val="22"/>
                <w:szCs w:val="22"/>
              </w:rPr>
              <w:t>Lei nº 8.666/93, art. 38, X</w:t>
            </w: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Entrega/prestação do objeto mediante atesto da nota fiscal pelos solicitantes.</w:t>
            </w:r>
          </w:p>
        </w:tc>
        <w:tc>
          <w:tcPr>
            <w:tcW w:w="859" w:type="pct"/>
            <w:vAlign w:val="center"/>
          </w:tcPr>
          <w:p w:rsidR="000C5A33" w:rsidRPr="00DB4613" w:rsidRDefault="000C5A33" w:rsidP="00B611BD">
            <w:pPr>
              <w:rPr>
                <w:sz w:val="22"/>
                <w:szCs w:val="22"/>
              </w:rPr>
            </w:pP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sz w:val="22"/>
                <w:szCs w:val="22"/>
              </w:rPr>
              <w:t>Nota fiscal anexada ao processo e envio ao DCF para quitação.</w:t>
            </w:r>
          </w:p>
        </w:tc>
        <w:tc>
          <w:tcPr>
            <w:tcW w:w="859" w:type="pct"/>
            <w:vAlign w:val="center"/>
          </w:tcPr>
          <w:p w:rsidR="000C5A33" w:rsidRPr="00DB4613" w:rsidRDefault="000C5A33" w:rsidP="00B611BD">
            <w:pPr>
              <w:rPr>
                <w:sz w:val="22"/>
                <w:szCs w:val="22"/>
              </w:rPr>
            </w:pP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color w:val="000000"/>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color w:val="000000"/>
                <w:sz w:val="22"/>
                <w:szCs w:val="22"/>
              </w:rPr>
              <w:t>Emissão da Ordem de pagamento e verificação da regularidade fiscal</w:t>
            </w:r>
          </w:p>
        </w:tc>
        <w:tc>
          <w:tcPr>
            <w:tcW w:w="859" w:type="pct"/>
            <w:vAlign w:val="center"/>
          </w:tcPr>
          <w:p w:rsidR="000C5A33" w:rsidRPr="00DB4613" w:rsidRDefault="000C5A33" w:rsidP="00B611BD">
            <w:pPr>
              <w:rPr>
                <w:sz w:val="22"/>
                <w:szCs w:val="22"/>
              </w:rPr>
            </w:pP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color w:val="000000"/>
                <w:sz w:val="20"/>
                <w:szCs w:val="20"/>
              </w:rPr>
            </w:pPr>
          </w:p>
        </w:tc>
        <w:tc>
          <w:tcPr>
            <w:tcW w:w="3411" w:type="pct"/>
            <w:vAlign w:val="center"/>
          </w:tcPr>
          <w:p w:rsidR="000C5A33" w:rsidRPr="00DB4613" w:rsidRDefault="000C5A33" w:rsidP="00B611BD">
            <w:pPr>
              <w:autoSpaceDE w:val="0"/>
              <w:autoSpaceDN w:val="0"/>
              <w:adjustRightInd w:val="0"/>
              <w:rPr>
                <w:color w:val="000000"/>
                <w:sz w:val="22"/>
                <w:szCs w:val="22"/>
              </w:rPr>
            </w:pPr>
            <w:r w:rsidRPr="00DB4613">
              <w:rPr>
                <w:color w:val="000000"/>
                <w:sz w:val="22"/>
                <w:szCs w:val="22"/>
              </w:rPr>
              <w:t>Caso não haja regularidade, notificar para que haja regularização</w:t>
            </w:r>
          </w:p>
        </w:tc>
        <w:tc>
          <w:tcPr>
            <w:tcW w:w="859" w:type="pct"/>
            <w:vAlign w:val="center"/>
          </w:tcPr>
          <w:p w:rsidR="000C5A33" w:rsidRPr="00DB4613" w:rsidRDefault="000C5A33" w:rsidP="00B611BD">
            <w:pPr>
              <w:rPr>
                <w:sz w:val="22"/>
                <w:szCs w:val="22"/>
              </w:rPr>
            </w:pP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r w:rsidR="000C5A33" w:rsidRPr="00DB4613" w:rsidTr="00893C2F">
        <w:tc>
          <w:tcPr>
            <w:tcW w:w="233" w:type="pct"/>
            <w:vAlign w:val="center"/>
          </w:tcPr>
          <w:p w:rsidR="000C5A33" w:rsidRPr="000C5A33" w:rsidRDefault="000C5A33" w:rsidP="00B611BD">
            <w:pPr>
              <w:pStyle w:val="PargrafodaLista"/>
              <w:numPr>
                <w:ilvl w:val="0"/>
                <w:numId w:val="3"/>
              </w:numPr>
              <w:autoSpaceDE w:val="0"/>
              <w:autoSpaceDN w:val="0"/>
              <w:adjustRightInd w:val="0"/>
              <w:ind w:left="0" w:firstLine="0"/>
              <w:rPr>
                <w:color w:val="000000"/>
                <w:sz w:val="20"/>
                <w:szCs w:val="20"/>
              </w:rPr>
            </w:pPr>
          </w:p>
        </w:tc>
        <w:tc>
          <w:tcPr>
            <w:tcW w:w="3411" w:type="pct"/>
            <w:vAlign w:val="center"/>
          </w:tcPr>
          <w:p w:rsidR="000C5A33" w:rsidRPr="00DB4613" w:rsidRDefault="000C5A33" w:rsidP="00B611BD">
            <w:pPr>
              <w:autoSpaceDE w:val="0"/>
              <w:autoSpaceDN w:val="0"/>
              <w:adjustRightInd w:val="0"/>
              <w:rPr>
                <w:sz w:val="22"/>
                <w:szCs w:val="22"/>
              </w:rPr>
            </w:pPr>
            <w:r w:rsidRPr="00DB4613">
              <w:rPr>
                <w:color w:val="000000"/>
                <w:sz w:val="22"/>
                <w:szCs w:val="22"/>
              </w:rPr>
              <w:t>Observação dos tributos pertinentes (ISS, IRPF, INSS, obrigação patronal). Observar o município em que o serviço foi prestado para pagamento de ISS</w:t>
            </w:r>
          </w:p>
        </w:tc>
        <w:tc>
          <w:tcPr>
            <w:tcW w:w="859" w:type="pct"/>
            <w:vAlign w:val="center"/>
          </w:tcPr>
          <w:p w:rsidR="000C5A33" w:rsidRPr="00DB4613" w:rsidRDefault="000C5A33" w:rsidP="00B611BD">
            <w:pPr>
              <w:rPr>
                <w:sz w:val="22"/>
                <w:szCs w:val="22"/>
              </w:rPr>
            </w:pPr>
          </w:p>
        </w:tc>
        <w:tc>
          <w:tcPr>
            <w:tcW w:w="209" w:type="pct"/>
            <w:vAlign w:val="center"/>
          </w:tcPr>
          <w:p w:rsidR="000C5A33" w:rsidRPr="00DB4613" w:rsidRDefault="000C5A33" w:rsidP="00B611BD">
            <w:pPr>
              <w:rPr>
                <w:sz w:val="22"/>
                <w:szCs w:val="22"/>
              </w:rPr>
            </w:pPr>
          </w:p>
        </w:tc>
        <w:tc>
          <w:tcPr>
            <w:tcW w:w="288" w:type="pct"/>
            <w:vAlign w:val="center"/>
          </w:tcPr>
          <w:p w:rsidR="000C5A33" w:rsidRPr="00DB4613" w:rsidRDefault="000C5A33" w:rsidP="00B611BD">
            <w:pPr>
              <w:rPr>
                <w:sz w:val="22"/>
                <w:szCs w:val="22"/>
              </w:rPr>
            </w:pPr>
          </w:p>
        </w:tc>
      </w:tr>
    </w:tbl>
    <w:p w:rsidR="004012FE" w:rsidRPr="00DB4613" w:rsidRDefault="004012FE">
      <w:pPr>
        <w:rPr>
          <w:sz w:val="22"/>
          <w:szCs w:val="22"/>
        </w:rPr>
      </w:pPr>
    </w:p>
    <w:sectPr w:rsidR="004012FE" w:rsidRPr="00DB4613" w:rsidSect="00C61425">
      <w:headerReference w:type="default" r:id="rId11"/>
      <w:type w:val="continuous"/>
      <w:pgSz w:w="11906" w:h="16838"/>
      <w:pgMar w:top="567" w:right="340" w:bottom="567"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A3" w:rsidRDefault="00501DA3">
      <w:r>
        <w:separator/>
      </w:r>
    </w:p>
  </w:endnote>
  <w:endnote w:type="continuationSeparator" w:id="0">
    <w:p w:rsidR="00501DA3" w:rsidRDefault="0050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86675"/>
      <w:docPartObj>
        <w:docPartGallery w:val="Page Numbers (Bottom of Page)"/>
        <w:docPartUnique/>
      </w:docPartObj>
    </w:sdtPr>
    <w:sdtEndPr/>
    <w:sdtContent>
      <w:sdt>
        <w:sdtPr>
          <w:id w:val="860082579"/>
          <w:docPartObj>
            <w:docPartGallery w:val="Page Numbers (Top of Page)"/>
            <w:docPartUnique/>
          </w:docPartObj>
        </w:sdtPr>
        <w:sdtEndPr/>
        <w:sdtContent>
          <w:p w:rsidR="00C61425" w:rsidRDefault="00C61425">
            <w:pPr>
              <w:pStyle w:val="Rodap"/>
              <w:jc w:val="right"/>
            </w:pPr>
            <w:r>
              <w:t xml:space="preserve">Página </w:t>
            </w:r>
            <w:r>
              <w:rPr>
                <w:b/>
                <w:bCs/>
              </w:rPr>
              <w:fldChar w:fldCharType="begin"/>
            </w:r>
            <w:r>
              <w:rPr>
                <w:b/>
                <w:bCs/>
              </w:rPr>
              <w:instrText>PAGE</w:instrText>
            </w:r>
            <w:r>
              <w:rPr>
                <w:b/>
                <w:bCs/>
              </w:rPr>
              <w:fldChar w:fldCharType="separate"/>
            </w:r>
            <w:r w:rsidR="00896DD2">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896DD2">
              <w:rPr>
                <w:b/>
                <w:bCs/>
                <w:noProof/>
              </w:rPr>
              <w:t>2</w:t>
            </w:r>
            <w:r>
              <w:rPr>
                <w:b/>
                <w:bCs/>
              </w:rPr>
              <w:fldChar w:fldCharType="end"/>
            </w:r>
          </w:p>
        </w:sdtContent>
      </w:sdt>
    </w:sdtContent>
  </w:sdt>
  <w:p w:rsidR="00C61425" w:rsidRDefault="00C614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A3" w:rsidRDefault="00501DA3">
      <w:r>
        <w:separator/>
      </w:r>
    </w:p>
  </w:footnote>
  <w:footnote w:type="continuationSeparator" w:id="0">
    <w:p w:rsidR="00501DA3" w:rsidRDefault="00501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368"/>
      <w:gridCol w:w="7276"/>
    </w:tblGrid>
    <w:tr w:rsidR="004012FE" w:rsidTr="000448C6">
      <w:tc>
        <w:tcPr>
          <w:tcW w:w="1368" w:type="dxa"/>
          <w:shd w:val="clear" w:color="auto" w:fill="auto"/>
        </w:tcPr>
        <w:p w:rsidR="004012FE" w:rsidRDefault="001C3ABA">
          <w:pPr>
            <w:pStyle w:val="Cabealho"/>
          </w:pPr>
          <w:r>
            <w:rPr>
              <w:rFonts w:ascii="Eras Medium ITC" w:eastAsia="Arial Unicode MS" w:hAnsi="Eras Medium ITC" w:cs="Gisha"/>
              <w:noProof/>
              <w:spacing w:val="20"/>
              <w:sz w:val="15"/>
              <w:szCs w:val="15"/>
            </w:rPr>
            <w:drawing>
              <wp:inline distT="0" distB="0" distL="0" distR="0" wp14:anchorId="3980C4FD" wp14:editId="1C11DD87">
                <wp:extent cx="660400" cy="670560"/>
                <wp:effectExtent l="0" t="0" r="635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70560"/>
                        </a:xfrm>
                        <a:prstGeom prst="rect">
                          <a:avLst/>
                        </a:prstGeom>
                        <a:noFill/>
                        <a:ln>
                          <a:noFill/>
                        </a:ln>
                      </pic:spPr>
                    </pic:pic>
                  </a:graphicData>
                </a:graphic>
              </wp:inline>
            </w:drawing>
          </w:r>
        </w:p>
      </w:tc>
      <w:tc>
        <w:tcPr>
          <w:tcW w:w="7276" w:type="dxa"/>
          <w:shd w:val="clear" w:color="auto" w:fill="auto"/>
        </w:tcPr>
        <w:p w:rsidR="002C2AEA" w:rsidRPr="000448C6" w:rsidRDefault="002C2AEA" w:rsidP="000448C6">
          <w:pPr>
            <w:spacing w:line="360" w:lineRule="auto"/>
            <w:ind w:firstLine="34"/>
            <w:rPr>
              <w:rFonts w:eastAsia="Arial Unicode MS"/>
              <w:spacing w:val="20"/>
              <w:sz w:val="20"/>
              <w:szCs w:val="20"/>
            </w:rPr>
          </w:pPr>
          <w:r w:rsidRPr="000448C6">
            <w:rPr>
              <w:rFonts w:eastAsia="Arial Unicode MS"/>
              <w:spacing w:val="20"/>
              <w:sz w:val="20"/>
              <w:szCs w:val="20"/>
            </w:rPr>
            <w:t>MINISTÉRIO DA EDUCAÇÃO</w:t>
          </w:r>
        </w:p>
        <w:p w:rsidR="002C2AEA" w:rsidRPr="000448C6" w:rsidRDefault="002C2AEA" w:rsidP="000448C6">
          <w:pPr>
            <w:spacing w:line="360" w:lineRule="auto"/>
            <w:rPr>
              <w:rFonts w:eastAsia="Arial Unicode MS"/>
              <w:spacing w:val="20"/>
              <w:sz w:val="20"/>
              <w:szCs w:val="20"/>
            </w:rPr>
          </w:pPr>
          <w:r w:rsidRPr="000448C6">
            <w:rPr>
              <w:rFonts w:eastAsia="Arial Unicode MS"/>
              <w:spacing w:val="20"/>
              <w:sz w:val="20"/>
              <w:szCs w:val="20"/>
            </w:rPr>
            <w:t>UNIVERSIDADE FEDERAL DE GOIÁS</w:t>
          </w:r>
        </w:p>
        <w:p w:rsidR="004012FE" w:rsidRDefault="004012FE">
          <w:pPr>
            <w:pStyle w:val="Cabealho"/>
          </w:pPr>
          <w:r w:rsidRPr="000448C6">
            <w:rPr>
              <w:sz w:val="20"/>
              <w:szCs w:val="20"/>
            </w:rPr>
            <w:t>PROAD – PRÓ-REITORIA DE ADMINISTRAÇÃO E FINANÇAS</w:t>
          </w:r>
        </w:p>
      </w:tc>
    </w:tr>
  </w:tbl>
  <w:p w:rsidR="004012FE" w:rsidRDefault="004012F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93" w:rsidRDefault="00681E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6E8"/>
    <w:multiLevelType w:val="multilevel"/>
    <w:tmpl w:val="E5DE2D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0C03E5D"/>
    <w:multiLevelType w:val="multilevel"/>
    <w:tmpl w:val="E5DE2D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80C459C"/>
    <w:multiLevelType w:val="hybridMultilevel"/>
    <w:tmpl w:val="9E6C2454"/>
    <w:lvl w:ilvl="0" w:tplc="0416000F">
      <w:start w:val="1"/>
      <w:numFmt w:val="decimal"/>
      <w:lvlText w:val="%1."/>
      <w:lvlJc w:val="left"/>
      <w:pPr>
        <w:ind w:left="720" w:hanging="360"/>
      </w:pPr>
    </w:lvl>
    <w:lvl w:ilvl="1" w:tplc="961C3D6E">
      <w:start w:val="1"/>
      <w:numFmt w:val="decimal"/>
      <w:lvlText w:val="%2."/>
      <w:lvlJc w:val="left"/>
      <w:pPr>
        <w:ind w:left="1440" w:hanging="360"/>
      </w:pPr>
      <w:rPr>
        <w:rFonts w:hint="default"/>
      </w:rPr>
    </w:lvl>
    <w:lvl w:ilvl="2" w:tplc="97228DC0">
      <w:start w:val="1"/>
      <w:numFmt w:val="decimal"/>
      <w:lvlText w:val="1.%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19"/>
    <w:rsid w:val="00011066"/>
    <w:rsid w:val="00026502"/>
    <w:rsid w:val="000448C6"/>
    <w:rsid w:val="000C5A33"/>
    <w:rsid w:val="000F7617"/>
    <w:rsid w:val="00117EB4"/>
    <w:rsid w:val="001A4E8F"/>
    <w:rsid w:val="001C3ABA"/>
    <w:rsid w:val="001C73F9"/>
    <w:rsid w:val="001D4A0D"/>
    <w:rsid w:val="001E2CC1"/>
    <w:rsid w:val="001F7551"/>
    <w:rsid w:val="001F7C78"/>
    <w:rsid w:val="00202A85"/>
    <w:rsid w:val="00222B65"/>
    <w:rsid w:val="00254806"/>
    <w:rsid w:val="002575EA"/>
    <w:rsid w:val="00266031"/>
    <w:rsid w:val="00284F05"/>
    <w:rsid w:val="00295AC8"/>
    <w:rsid w:val="00295CD7"/>
    <w:rsid w:val="002C2AEA"/>
    <w:rsid w:val="002C7CF5"/>
    <w:rsid w:val="002D3C64"/>
    <w:rsid w:val="00320C98"/>
    <w:rsid w:val="003279CA"/>
    <w:rsid w:val="003516E6"/>
    <w:rsid w:val="00353C9D"/>
    <w:rsid w:val="0039013A"/>
    <w:rsid w:val="003E035D"/>
    <w:rsid w:val="003E0665"/>
    <w:rsid w:val="003E0A95"/>
    <w:rsid w:val="003F52FB"/>
    <w:rsid w:val="004012FE"/>
    <w:rsid w:val="00401C98"/>
    <w:rsid w:val="00412F0A"/>
    <w:rsid w:val="004309B7"/>
    <w:rsid w:val="004540A4"/>
    <w:rsid w:val="004C65FB"/>
    <w:rsid w:val="004D2EF3"/>
    <w:rsid w:val="004E10FF"/>
    <w:rsid w:val="00501DA3"/>
    <w:rsid w:val="00511130"/>
    <w:rsid w:val="005477B4"/>
    <w:rsid w:val="005C684B"/>
    <w:rsid w:val="005D7209"/>
    <w:rsid w:val="005E1790"/>
    <w:rsid w:val="005E3A7B"/>
    <w:rsid w:val="005F3A19"/>
    <w:rsid w:val="00601F00"/>
    <w:rsid w:val="00610299"/>
    <w:rsid w:val="00681E93"/>
    <w:rsid w:val="006A6CDB"/>
    <w:rsid w:val="006C35D1"/>
    <w:rsid w:val="00796BC1"/>
    <w:rsid w:val="007C70C2"/>
    <w:rsid w:val="00850EA3"/>
    <w:rsid w:val="00871D97"/>
    <w:rsid w:val="00874702"/>
    <w:rsid w:val="008765B0"/>
    <w:rsid w:val="00885CB4"/>
    <w:rsid w:val="0089269D"/>
    <w:rsid w:val="00893C2F"/>
    <w:rsid w:val="00896DD2"/>
    <w:rsid w:val="008B04DF"/>
    <w:rsid w:val="008B47C2"/>
    <w:rsid w:val="008B5B8C"/>
    <w:rsid w:val="008B6491"/>
    <w:rsid w:val="008C69CB"/>
    <w:rsid w:val="00967B8F"/>
    <w:rsid w:val="009D064A"/>
    <w:rsid w:val="00A14DCD"/>
    <w:rsid w:val="00A2707B"/>
    <w:rsid w:val="00A412CB"/>
    <w:rsid w:val="00AC423B"/>
    <w:rsid w:val="00B611BD"/>
    <w:rsid w:val="00BC4574"/>
    <w:rsid w:val="00BF6AA8"/>
    <w:rsid w:val="00C12A1F"/>
    <w:rsid w:val="00C352AA"/>
    <w:rsid w:val="00C407C5"/>
    <w:rsid w:val="00C61425"/>
    <w:rsid w:val="00C65321"/>
    <w:rsid w:val="00C777E4"/>
    <w:rsid w:val="00C83275"/>
    <w:rsid w:val="00CA0886"/>
    <w:rsid w:val="00CC41CC"/>
    <w:rsid w:val="00CC5F69"/>
    <w:rsid w:val="00CD1490"/>
    <w:rsid w:val="00CD57D8"/>
    <w:rsid w:val="00DB4613"/>
    <w:rsid w:val="00DC27E4"/>
    <w:rsid w:val="00DD737C"/>
    <w:rsid w:val="00E30049"/>
    <w:rsid w:val="00E5656F"/>
    <w:rsid w:val="00E93BC4"/>
    <w:rsid w:val="00EE3DE9"/>
    <w:rsid w:val="00F024A0"/>
    <w:rsid w:val="00F45754"/>
    <w:rsid w:val="00F75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1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sid w:val="005477B4"/>
    <w:rPr>
      <w:rFonts w:cs="Times New Roman"/>
      <w:sz w:val="16"/>
      <w:szCs w:val="16"/>
    </w:rPr>
  </w:style>
  <w:style w:type="paragraph" w:styleId="Textodecomentrio">
    <w:name w:val="annotation text"/>
    <w:basedOn w:val="Normal"/>
    <w:link w:val="TextodecomentrioChar"/>
    <w:semiHidden/>
    <w:rsid w:val="005477B4"/>
    <w:rPr>
      <w:sz w:val="20"/>
      <w:szCs w:val="20"/>
    </w:rPr>
  </w:style>
  <w:style w:type="character" w:customStyle="1" w:styleId="TextodecomentrioChar">
    <w:name w:val="Texto de comentário Char"/>
    <w:link w:val="Textodecomentrio"/>
    <w:semiHidden/>
    <w:rsid w:val="005B55C1"/>
    <w:rPr>
      <w:sz w:val="20"/>
      <w:szCs w:val="20"/>
    </w:rPr>
  </w:style>
  <w:style w:type="paragraph" w:styleId="Assuntodocomentrio">
    <w:name w:val="annotation subject"/>
    <w:basedOn w:val="Textodecomentrio"/>
    <w:next w:val="Textodecomentrio"/>
    <w:link w:val="AssuntodocomentrioChar"/>
    <w:uiPriority w:val="99"/>
    <w:semiHidden/>
    <w:rsid w:val="005477B4"/>
    <w:rPr>
      <w:b/>
      <w:bCs/>
    </w:rPr>
  </w:style>
  <w:style w:type="character" w:customStyle="1" w:styleId="AssuntodocomentrioChar">
    <w:name w:val="Assunto do comentário Char"/>
    <w:link w:val="Assuntodocomentrio"/>
    <w:uiPriority w:val="99"/>
    <w:semiHidden/>
    <w:rsid w:val="005B55C1"/>
    <w:rPr>
      <w:b/>
      <w:bCs/>
      <w:sz w:val="20"/>
      <w:szCs w:val="20"/>
    </w:rPr>
  </w:style>
  <w:style w:type="paragraph" w:styleId="Textodebalo">
    <w:name w:val="Balloon Text"/>
    <w:basedOn w:val="Normal"/>
    <w:link w:val="TextodebaloChar"/>
    <w:uiPriority w:val="99"/>
    <w:semiHidden/>
    <w:rsid w:val="005477B4"/>
    <w:rPr>
      <w:rFonts w:ascii="Tahoma" w:hAnsi="Tahoma" w:cs="Tahoma"/>
      <w:sz w:val="16"/>
      <w:szCs w:val="16"/>
    </w:rPr>
  </w:style>
  <w:style w:type="character" w:customStyle="1" w:styleId="TextodebaloChar">
    <w:name w:val="Texto de balão Char"/>
    <w:link w:val="Textodebalo"/>
    <w:uiPriority w:val="99"/>
    <w:semiHidden/>
    <w:rsid w:val="005B55C1"/>
    <w:rPr>
      <w:sz w:val="0"/>
      <w:szCs w:val="0"/>
    </w:rPr>
  </w:style>
  <w:style w:type="paragraph" w:styleId="NormalWeb">
    <w:name w:val="Normal (Web)"/>
    <w:basedOn w:val="Normal"/>
    <w:uiPriority w:val="99"/>
    <w:rsid w:val="00F024A0"/>
    <w:pPr>
      <w:spacing w:before="100" w:beforeAutospacing="1" w:after="100" w:afterAutospacing="1"/>
    </w:pPr>
  </w:style>
  <w:style w:type="paragraph" w:styleId="Cabealho">
    <w:name w:val="header"/>
    <w:basedOn w:val="Normal"/>
    <w:link w:val="CabealhoChar"/>
    <w:uiPriority w:val="99"/>
    <w:rsid w:val="00CD57D8"/>
    <w:pPr>
      <w:tabs>
        <w:tab w:val="center" w:pos="4252"/>
        <w:tab w:val="right" w:pos="8504"/>
      </w:tabs>
    </w:pPr>
  </w:style>
  <w:style w:type="character" w:customStyle="1" w:styleId="CabealhoChar">
    <w:name w:val="Cabeçalho Char"/>
    <w:link w:val="Cabealho"/>
    <w:uiPriority w:val="99"/>
    <w:semiHidden/>
    <w:rsid w:val="005B55C1"/>
    <w:rPr>
      <w:sz w:val="24"/>
      <w:szCs w:val="24"/>
    </w:rPr>
  </w:style>
  <w:style w:type="paragraph" w:styleId="Rodap">
    <w:name w:val="footer"/>
    <w:basedOn w:val="Normal"/>
    <w:link w:val="RodapChar"/>
    <w:uiPriority w:val="99"/>
    <w:rsid w:val="00CD57D8"/>
    <w:pPr>
      <w:tabs>
        <w:tab w:val="center" w:pos="4252"/>
        <w:tab w:val="right" w:pos="8504"/>
      </w:tabs>
    </w:pPr>
  </w:style>
  <w:style w:type="character" w:customStyle="1" w:styleId="RodapChar">
    <w:name w:val="Rodapé Char"/>
    <w:link w:val="Rodap"/>
    <w:uiPriority w:val="99"/>
    <w:rsid w:val="005B55C1"/>
    <w:rPr>
      <w:sz w:val="24"/>
      <w:szCs w:val="24"/>
    </w:rPr>
  </w:style>
  <w:style w:type="table" w:styleId="Tabelacomgrade">
    <w:name w:val="Table Grid"/>
    <w:basedOn w:val="Tabelanormal"/>
    <w:uiPriority w:val="99"/>
    <w:rsid w:val="00CD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17EB4"/>
    <w:rPr>
      <w:color w:val="0000FF"/>
      <w:u w:val="single"/>
    </w:rPr>
  </w:style>
  <w:style w:type="paragraph" w:styleId="PargrafodaLista">
    <w:name w:val="List Paragraph"/>
    <w:basedOn w:val="Normal"/>
    <w:uiPriority w:val="34"/>
    <w:qFormat/>
    <w:rsid w:val="00351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1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sid w:val="005477B4"/>
    <w:rPr>
      <w:rFonts w:cs="Times New Roman"/>
      <w:sz w:val="16"/>
      <w:szCs w:val="16"/>
    </w:rPr>
  </w:style>
  <w:style w:type="paragraph" w:styleId="Textodecomentrio">
    <w:name w:val="annotation text"/>
    <w:basedOn w:val="Normal"/>
    <w:link w:val="TextodecomentrioChar"/>
    <w:semiHidden/>
    <w:rsid w:val="005477B4"/>
    <w:rPr>
      <w:sz w:val="20"/>
      <w:szCs w:val="20"/>
    </w:rPr>
  </w:style>
  <w:style w:type="character" w:customStyle="1" w:styleId="TextodecomentrioChar">
    <w:name w:val="Texto de comentário Char"/>
    <w:link w:val="Textodecomentrio"/>
    <w:semiHidden/>
    <w:rsid w:val="005B55C1"/>
    <w:rPr>
      <w:sz w:val="20"/>
      <w:szCs w:val="20"/>
    </w:rPr>
  </w:style>
  <w:style w:type="paragraph" w:styleId="Assuntodocomentrio">
    <w:name w:val="annotation subject"/>
    <w:basedOn w:val="Textodecomentrio"/>
    <w:next w:val="Textodecomentrio"/>
    <w:link w:val="AssuntodocomentrioChar"/>
    <w:uiPriority w:val="99"/>
    <w:semiHidden/>
    <w:rsid w:val="005477B4"/>
    <w:rPr>
      <w:b/>
      <w:bCs/>
    </w:rPr>
  </w:style>
  <w:style w:type="character" w:customStyle="1" w:styleId="AssuntodocomentrioChar">
    <w:name w:val="Assunto do comentário Char"/>
    <w:link w:val="Assuntodocomentrio"/>
    <w:uiPriority w:val="99"/>
    <w:semiHidden/>
    <w:rsid w:val="005B55C1"/>
    <w:rPr>
      <w:b/>
      <w:bCs/>
      <w:sz w:val="20"/>
      <w:szCs w:val="20"/>
    </w:rPr>
  </w:style>
  <w:style w:type="paragraph" w:styleId="Textodebalo">
    <w:name w:val="Balloon Text"/>
    <w:basedOn w:val="Normal"/>
    <w:link w:val="TextodebaloChar"/>
    <w:uiPriority w:val="99"/>
    <w:semiHidden/>
    <w:rsid w:val="005477B4"/>
    <w:rPr>
      <w:rFonts w:ascii="Tahoma" w:hAnsi="Tahoma" w:cs="Tahoma"/>
      <w:sz w:val="16"/>
      <w:szCs w:val="16"/>
    </w:rPr>
  </w:style>
  <w:style w:type="character" w:customStyle="1" w:styleId="TextodebaloChar">
    <w:name w:val="Texto de balão Char"/>
    <w:link w:val="Textodebalo"/>
    <w:uiPriority w:val="99"/>
    <w:semiHidden/>
    <w:rsid w:val="005B55C1"/>
    <w:rPr>
      <w:sz w:val="0"/>
      <w:szCs w:val="0"/>
    </w:rPr>
  </w:style>
  <w:style w:type="paragraph" w:styleId="NormalWeb">
    <w:name w:val="Normal (Web)"/>
    <w:basedOn w:val="Normal"/>
    <w:uiPriority w:val="99"/>
    <w:rsid w:val="00F024A0"/>
    <w:pPr>
      <w:spacing w:before="100" w:beforeAutospacing="1" w:after="100" w:afterAutospacing="1"/>
    </w:pPr>
  </w:style>
  <w:style w:type="paragraph" w:styleId="Cabealho">
    <w:name w:val="header"/>
    <w:basedOn w:val="Normal"/>
    <w:link w:val="CabealhoChar"/>
    <w:uiPriority w:val="99"/>
    <w:rsid w:val="00CD57D8"/>
    <w:pPr>
      <w:tabs>
        <w:tab w:val="center" w:pos="4252"/>
        <w:tab w:val="right" w:pos="8504"/>
      </w:tabs>
    </w:pPr>
  </w:style>
  <w:style w:type="character" w:customStyle="1" w:styleId="CabealhoChar">
    <w:name w:val="Cabeçalho Char"/>
    <w:link w:val="Cabealho"/>
    <w:uiPriority w:val="99"/>
    <w:semiHidden/>
    <w:rsid w:val="005B55C1"/>
    <w:rPr>
      <w:sz w:val="24"/>
      <w:szCs w:val="24"/>
    </w:rPr>
  </w:style>
  <w:style w:type="paragraph" w:styleId="Rodap">
    <w:name w:val="footer"/>
    <w:basedOn w:val="Normal"/>
    <w:link w:val="RodapChar"/>
    <w:uiPriority w:val="99"/>
    <w:rsid w:val="00CD57D8"/>
    <w:pPr>
      <w:tabs>
        <w:tab w:val="center" w:pos="4252"/>
        <w:tab w:val="right" w:pos="8504"/>
      </w:tabs>
    </w:pPr>
  </w:style>
  <w:style w:type="character" w:customStyle="1" w:styleId="RodapChar">
    <w:name w:val="Rodapé Char"/>
    <w:link w:val="Rodap"/>
    <w:uiPriority w:val="99"/>
    <w:rsid w:val="005B55C1"/>
    <w:rPr>
      <w:sz w:val="24"/>
      <w:szCs w:val="24"/>
    </w:rPr>
  </w:style>
  <w:style w:type="table" w:styleId="Tabelacomgrade">
    <w:name w:val="Table Grid"/>
    <w:basedOn w:val="Tabelanormal"/>
    <w:uiPriority w:val="99"/>
    <w:rsid w:val="00CD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17EB4"/>
    <w:rPr>
      <w:color w:val="0000FF"/>
      <w:u w:val="single"/>
    </w:rPr>
  </w:style>
  <w:style w:type="paragraph" w:styleId="PargrafodaLista">
    <w:name w:val="List Paragraph"/>
    <w:basedOn w:val="Normal"/>
    <w:uiPriority w:val="34"/>
    <w:qFormat/>
    <w:rsid w:val="00351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897">
      <w:bodyDiv w:val="1"/>
      <w:marLeft w:val="0"/>
      <w:marRight w:val="0"/>
      <w:marTop w:val="0"/>
      <w:marBottom w:val="0"/>
      <w:divBdr>
        <w:top w:val="none" w:sz="0" w:space="0" w:color="auto"/>
        <w:left w:val="none" w:sz="0" w:space="0" w:color="auto"/>
        <w:bottom w:val="none" w:sz="0" w:space="0" w:color="auto"/>
        <w:right w:val="none" w:sz="0" w:space="0" w:color="auto"/>
      </w:divBdr>
    </w:div>
    <w:div w:id="350645426">
      <w:bodyDiv w:val="1"/>
      <w:marLeft w:val="0"/>
      <w:marRight w:val="0"/>
      <w:marTop w:val="0"/>
      <w:marBottom w:val="0"/>
      <w:divBdr>
        <w:top w:val="none" w:sz="0" w:space="0" w:color="auto"/>
        <w:left w:val="none" w:sz="0" w:space="0" w:color="auto"/>
        <w:bottom w:val="none" w:sz="0" w:space="0" w:color="auto"/>
        <w:right w:val="none" w:sz="0" w:space="0" w:color="auto"/>
      </w:divBdr>
    </w:div>
    <w:div w:id="1154687572">
      <w:bodyDiv w:val="1"/>
      <w:marLeft w:val="0"/>
      <w:marRight w:val="0"/>
      <w:marTop w:val="0"/>
      <w:marBottom w:val="0"/>
      <w:divBdr>
        <w:top w:val="none" w:sz="0" w:space="0" w:color="auto"/>
        <w:left w:val="none" w:sz="0" w:space="0" w:color="auto"/>
        <w:bottom w:val="none" w:sz="0" w:space="0" w:color="auto"/>
        <w:right w:val="none" w:sz="0" w:space="0" w:color="auto"/>
      </w:divBdr>
    </w:div>
    <w:div w:id="1296568128">
      <w:bodyDiv w:val="1"/>
      <w:marLeft w:val="0"/>
      <w:marRight w:val="0"/>
      <w:marTop w:val="0"/>
      <w:marBottom w:val="0"/>
      <w:divBdr>
        <w:top w:val="none" w:sz="0" w:space="0" w:color="auto"/>
        <w:left w:val="none" w:sz="0" w:space="0" w:color="auto"/>
        <w:bottom w:val="none" w:sz="0" w:space="0" w:color="auto"/>
        <w:right w:val="none" w:sz="0" w:space="0" w:color="auto"/>
      </w:divBdr>
    </w:div>
    <w:div w:id="15999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B08D-2F67-44AD-86A0-658C2F36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CHECK-LIST - FORMALIZAÇÃO DOS PROCESSOS DE DISPENSA DE LICITAÇÃO EM FUNÇÃO DO VALOR</vt:lpstr>
    </vt:vector>
  </TitlesOfParts>
  <Company>Hewlett-Packard Company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FORMALIZAÇÃO DOS PROCESSOS DE DISPENSA DE LICITAÇÃO EM FUNÇÃO DO VALOR</dc:title>
  <dc:creator>Daniela</dc:creator>
  <cp:lastModifiedBy>Kairo</cp:lastModifiedBy>
  <cp:revision>2</cp:revision>
  <cp:lastPrinted>2014-07-10T18:42:00Z</cp:lastPrinted>
  <dcterms:created xsi:type="dcterms:W3CDTF">2016-08-29T19:16:00Z</dcterms:created>
  <dcterms:modified xsi:type="dcterms:W3CDTF">2016-08-29T19:16:00Z</dcterms:modified>
</cp:coreProperties>
</file>